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DAC92" w14:textId="544CD897" w:rsidR="00110471" w:rsidRDefault="0075630C" w:rsidP="00110471">
      <w:pPr>
        <w:pStyle w:val="ListParagraph"/>
        <w:tabs>
          <w:tab w:val="left" w:pos="450"/>
        </w:tabs>
        <w:ind w:left="450"/>
        <w:jc w:val="center"/>
        <w:rPr>
          <w:rFonts w:ascii="Calibre" w:hAnsi="Calibre"/>
          <w:b/>
          <w:bCs/>
          <w:sz w:val="28"/>
          <w:szCs w:val="36"/>
          <w:lang w:val="en-US"/>
        </w:rPr>
      </w:pPr>
      <w:r>
        <w:rPr>
          <w:rFonts w:ascii="Calibre" w:hAnsi="Calibre"/>
          <w:b/>
          <w:bCs/>
          <w:sz w:val="28"/>
          <w:szCs w:val="36"/>
          <w:lang w:val="en-US"/>
        </w:rPr>
        <w:t>Gender</w:t>
      </w:r>
    </w:p>
    <w:p w14:paraId="4E498417" w14:textId="3498EA34" w:rsidR="00110471" w:rsidRPr="00110471" w:rsidRDefault="00110471" w:rsidP="00110471">
      <w:pPr>
        <w:pStyle w:val="ListParagraph"/>
        <w:tabs>
          <w:tab w:val="left" w:pos="450"/>
        </w:tabs>
        <w:ind w:left="450"/>
        <w:jc w:val="center"/>
        <w:rPr>
          <w:rFonts w:ascii="Calibre" w:hAnsi="Calibre"/>
          <w:b/>
          <w:bCs/>
          <w:sz w:val="28"/>
          <w:szCs w:val="36"/>
          <w:lang w:val="en-US"/>
        </w:rPr>
      </w:pPr>
      <w:r w:rsidRPr="00110471">
        <w:rPr>
          <w:rFonts w:ascii="Calibre" w:hAnsi="Calibre"/>
          <w:b/>
          <w:bCs/>
          <w:sz w:val="28"/>
          <w:szCs w:val="36"/>
          <w:lang w:val="en-US"/>
        </w:rPr>
        <w:t>Greening growth: Transformative practices and reflections on gender and environmental justice</w:t>
      </w:r>
    </w:p>
    <w:p w14:paraId="5EBF8F8F" w14:textId="77777777" w:rsidR="002D4535" w:rsidRPr="00110471" w:rsidRDefault="002D4535" w:rsidP="00A3134E">
      <w:pPr>
        <w:pStyle w:val="ListParagraph"/>
        <w:tabs>
          <w:tab w:val="left" w:pos="450"/>
        </w:tabs>
        <w:ind w:left="450"/>
        <w:rPr>
          <w:rFonts w:ascii="Calibre" w:hAnsi="Calibre"/>
          <w:sz w:val="24"/>
          <w:szCs w:val="32"/>
          <w:lang w:val="en-US"/>
        </w:rPr>
      </w:pPr>
    </w:p>
    <w:p w14:paraId="4C1EF21F" w14:textId="3E4D9CCA" w:rsidR="00A3134E" w:rsidRPr="00605FDA" w:rsidRDefault="00080A6C" w:rsidP="00080A6C">
      <w:pPr>
        <w:pStyle w:val="ListParagraph"/>
        <w:numPr>
          <w:ilvl w:val="0"/>
          <w:numId w:val="1"/>
        </w:numPr>
        <w:rPr>
          <w:rFonts w:ascii="Calibre" w:hAnsi="Calibre"/>
          <w:b/>
          <w:bCs/>
          <w:sz w:val="24"/>
          <w:szCs w:val="32"/>
        </w:rPr>
      </w:pPr>
      <w:r w:rsidRPr="00605FDA">
        <w:rPr>
          <w:rFonts w:ascii="Calibre" w:hAnsi="Calibre"/>
          <w:b/>
          <w:bCs/>
          <w:sz w:val="24"/>
          <w:szCs w:val="32"/>
        </w:rPr>
        <w:t>Rationale</w:t>
      </w:r>
    </w:p>
    <w:p w14:paraId="58B2536A" w14:textId="51C89A8E" w:rsidR="00110471" w:rsidRPr="00110471" w:rsidRDefault="00110471" w:rsidP="00110471">
      <w:pPr>
        <w:jc w:val="both"/>
        <w:rPr>
          <w:rFonts w:ascii="Calibre" w:hAnsi="Calibre"/>
          <w:sz w:val="24"/>
          <w:szCs w:val="32"/>
        </w:rPr>
      </w:pPr>
      <w:r w:rsidRPr="00110471">
        <w:rPr>
          <w:rFonts w:ascii="Calibre" w:hAnsi="Calibre"/>
          <w:sz w:val="24"/>
          <w:szCs w:val="32"/>
        </w:rPr>
        <w:t>Gender and social inequality are intrinsically linked with environmental change. Key findings in gender and environment literature in the last three decades show that people are differentially affected by environmental and climate change in socially specific ways based on their intersecting gender, ethnic, class, age, and religious identities</w:t>
      </w:r>
      <w:r w:rsidR="00F02B2D">
        <w:rPr>
          <w:rFonts w:ascii="Calibre" w:hAnsi="Calibre"/>
          <w:sz w:val="24"/>
          <w:szCs w:val="32"/>
        </w:rPr>
        <w:t>,</w:t>
      </w:r>
      <w:r w:rsidRPr="00110471">
        <w:rPr>
          <w:rFonts w:ascii="Calibre" w:hAnsi="Calibre"/>
          <w:sz w:val="24"/>
          <w:szCs w:val="32"/>
        </w:rPr>
        <w:t xml:space="preserve"> and in specific economic, political and social contexts. </w:t>
      </w:r>
    </w:p>
    <w:p w14:paraId="673A7DA5" w14:textId="58112857" w:rsidR="00110471" w:rsidRDefault="00110471" w:rsidP="00110471">
      <w:pPr>
        <w:jc w:val="both"/>
        <w:rPr>
          <w:rFonts w:ascii="Calibre" w:hAnsi="Calibre"/>
          <w:sz w:val="24"/>
          <w:szCs w:val="32"/>
        </w:rPr>
      </w:pPr>
      <w:r w:rsidRPr="00110471">
        <w:rPr>
          <w:rFonts w:ascii="Calibre" w:hAnsi="Calibre"/>
          <w:sz w:val="24"/>
          <w:szCs w:val="32"/>
        </w:rPr>
        <w:t>‘Green growth’ – envisaged to create a path of economic growth that uses natural resources in a sustainable manner – has emerged as a response to uns</w:t>
      </w:r>
      <w:r w:rsidR="009A2842">
        <w:rPr>
          <w:rFonts w:ascii="Calibre" w:hAnsi="Calibre"/>
          <w:sz w:val="24"/>
          <w:szCs w:val="32"/>
        </w:rPr>
        <w:t>ustainable forms of development</w:t>
      </w:r>
      <w:r w:rsidRPr="00110471">
        <w:rPr>
          <w:rFonts w:ascii="Calibre" w:hAnsi="Calibre"/>
          <w:sz w:val="24"/>
          <w:szCs w:val="32"/>
        </w:rPr>
        <w:t xml:space="preserve">. Is the ‘greening growth’ approach the way forward? </w:t>
      </w:r>
      <w:r w:rsidR="00F02B2D">
        <w:rPr>
          <w:rFonts w:ascii="Calibre" w:hAnsi="Calibre"/>
          <w:sz w:val="24"/>
          <w:szCs w:val="32"/>
        </w:rPr>
        <w:t>A</w:t>
      </w:r>
      <w:r w:rsidRPr="00110471">
        <w:rPr>
          <w:rFonts w:ascii="Calibre" w:hAnsi="Calibre"/>
          <w:sz w:val="24"/>
          <w:szCs w:val="32"/>
        </w:rPr>
        <w:t xml:space="preserve"> more just and inclusive vision </w:t>
      </w:r>
      <w:r w:rsidR="00F02B2D">
        <w:rPr>
          <w:rFonts w:ascii="Calibre" w:hAnsi="Calibre"/>
          <w:sz w:val="24"/>
          <w:szCs w:val="32"/>
        </w:rPr>
        <w:t>of</w:t>
      </w:r>
      <w:r w:rsidRPr="00110471">
        <w:rPr>
          <w:rFonts w:ascii="Calibre" w:hAnsi="Calibre"/>
          <w:sz w:val="24"/>
          <w:szCs w:val="32"/>
        </w:rPr>
        <w:t xml:space="preserve"> greening our world is needed</w:t>
      </w:r>
      <w:r w:rsidR="00CF7B0F" w:rsidRPr="00CF7B0F">
        <w:t xml:space="preserve"> </w:t>
      </w:r>
      <w:r w:rsidR="00CF7B0F" w:rsidRPr="00CF7B0F">
        <w:rPr>
          <w:sz w:val="24"/>
          <w:szCs w:val="24"/>
        </w:rPr>
        <w:t>and we invite proposals which can help advance our understanding on how this can be done</w:t>
      </w:r>
      <w:r w:rsidRPr="00110471">
        <w:rPr>
          <w:rFonts w:ascii="Calibre" w:hAnsi="Calibre"/>
          <w:sz w:val="24"/>
          <w:szCs w:val="32"/>
        </w:rPr>
        <w:t xml:space="preserve">. There is a need to </w:t>
      </w:r>
      <w:r w:rsidR="002D5BFD">
        <w:rPr>
          <w:rFonts w:ascii="Calibre" w:hAnsi="Calibre"/>
          <w:sz w:val="24"/>
          <w:szCs w:val="32"/>
        </w:rPr>
        <w:t>address</w:t>
      </w:r>
      <w:r w:rsidRPr="00110471">
        <w:rPr>
          <w:rFonts w:ascii="Calibre" w:hAnsi="Calibre"/>
          <w:sz w:val="24"/>
          <w:szCs w:val="32"/>
        </w:rPr>
        <w:t xml:space="preserve"> </w:t>
      </w:r>
      <w:r w:rsidR="002D5BFD" w:rsidRPr="00110471">
        <w:rPr>
          <w:rFonts w:ascii="Calibre" w:hAnsi="Calibre"/>
          <w:sz w:val="24"/>
          <w:szCs w:val="32"/>
        </w:rPr>
        <w:t xml:space="preserve">gender equality, public participation and women’s empowerment </w:t>
      </w:r>
      <w:r w:rsidRPr="00110471">
        <w:rPr>
          <w:rFonts w:ascii="Calibre" w:hAnsi="Calibre"/>
          <w:sz w:val="24"/>
          <w:szCs w:val="32"/>
        </w:rPr>
        <w:t>perspectives vis-à-vis current efforts to advance the ‘green growth’ paradigm. This includes (</w:t>
      </w:r>
      <w:proofErr w:type="spellStart"/>
      <w:r w:rsidRPr="00110471">
        <w:rPr>
          <w:rFonts w:ascii="Calibre" w:hAnsi="Calibre"/>
          <w:sz w:val="24"/>
          <w:szCs w:val="32"/>
        </w:rPr>
        <w:t>i</w:t>
      </w:r>
      <w:proofErr w:type="spellEnd"/>
      <w:r w:rsidRPr="00110471">
        <w:rPr>
          <w:rFonts w:ascii="Calibre" w:hAnsi="Calibre"/>
          <w:sz w:val="24"/>
          <w:szCs w:val="32"/>
        </w:rPr>
        <w:t xml:space="preserve">) understanding how workings of power at multiple scales and the intersections of gender with other identities have implications on the use of resources; (ii) unpacking complex and </w:t>
      </w:r>
      <w:bookmarkStart w:id="0" w:name="_GoBack"/>
      <w:bookmarkEnd w:id="0"/>
      <w:r w:rsidR="00DB50D0">
        <w:rPr>
          <w:rFonts w:ascii="Calibre" w:hAnsi="Calibre"/>
          <w:sz w:val="24"/>
          <w:szCs w:val="32"/>
        </w:rPr>
        <w:t>inter-dependent</w:t>
      </w:r>
      <w:r w:rsidRPr="00110471">
        <w:rPr>
          <w:rFonts w:ascii="Calibre" w:hAnsi="Calibre"/>
          <w:sz w:val="24"/>
          <w:szCs w:val="32"/>
        </w:rPr>
        <w:t xml:space="preserve"> society-environment relations by understanding people’s experiences and </w:t>
      </w:r>
      <w:r w:rsidR="009E4B67">
        <w:rPr>
          <w:rFonts w:ascii="Calibre" w:hAnsi="Calibre"/>
          <w:sz w:val="24"/>
          <w:szCs w:val="32"/>
        </w:rPr>
        <w:t>their fixed nature</w:t>
      </w:r>
      <w:r w:rsidRPr="00110471">
        <w:rPr>
          <w:rFonts w:ascii="Calibre" w:hAnsi="Calibre"/>
          <w:sz w:val="24"/>
          <w:szCs w:val="32"/>
        </w:rPr>
        <w:t xml:space="preserve"> in the power relations shaping environmental and institutional contexts; and (iii) raising awareness and seeking multi-stakeholder-informed solutions on the growing commodification of nature. </w:t>
      </w:r>
    </w:p>
    <w:p w14:paraId="79BBF2A4" w14:textId="2BC21D0C" w:rsidR="00080A6C" w:rsidRPr="00C823AF" w:rsidRDefault="00080A6C" w:rsidP="00C823AF">
      <w:pPr>
        <w:pStyle w:val="ListParagraph"/>
        <w:numPr>
          <w:ilvl w:val="0"/>
          <w:numId w:val="1"/>
        </w:numPr>
        <w:jc w:val="both"/>
        <w:rPr>
          <w:rFonts w:ascii="Calibre" w:hAnsi="Calibre"/>
          <w:b/>
          <w:bCs/>
          <w:sz w:val="24"/>
          <w:szCs w:val="32"/>
        </w:rPr>
      </w:pPr>
      <w:r w:rsidRPr="00C823AF">
        <w:rPr>
          <w:rFonts w:ascii="Calibre" w:hAnsi="Calibre"/>
          <w:b/>
          <w:bCs/>
          <w:sz w:val="24"/>
          <w:szCs w:val="32"/>
        </w:rPr>
        <w:t xml:space="preserve">Important </w:t>
      </w:r>
      <w:r w:rsidR="00026D37" w:rsidRPr="00C823AF">
        <w:rPr>
          <w:rFonts w:ascii="Calibre" w:hAnsi="Calibre"/>
          <w:b/>
          <w:bCs/>
          <w:sz w:val="24"/>
          <w:szCs w:val="32"/>
        </w:rPr>
        <w:t>keyword</w:t>
      </w:r>
      <w:r w:rsidRPr="00C823AF">
        <w:rPr>
          <w:rFonts w:ascii="Calibre" w:hAnsi="Calibre"/>
          <w:b/>
          <w:bCs/>
          <w:sz w:val="24"/>
          <w:szCs w:val="32"/>
        </w:rPr>
        <w:t>s</w:t>
      </w:r>
    </w:p>
    <w:p w14:paraId="100DC77A" w14:textId="0CC49438" w:rsidR="00110471" w:rsidRPr="00C823AF" w:rsidRDefault="009C2FAE" w:rsidP="00C823AF">
      <w:pPr>
        <w:spacing w:line="276" w:lineRule="auto"/>
        <w:jc w:val="both"/>
        <w:rPr>
          <w:rFonts w:ascii="Calibre" w:hAnsi="Calibre"/>
          <w:sz w:val="24"/>
          <w:szCs w:val="32"/>
        </w:rPr>
      </w:pPr>
      <w:r>
        <w:rPr>
          <w:rFonts w:ascii="Calibre" w:hAnsi="Calibre"/>
          <w:sz w:val="24"/>
          <w:szCs w:val="32"/>
        </w:rPr>
        <w:t>G</w:t>
      </w:r>
      <w:r w:rsidRPr="009C2FAE">
        <w:rPr>
          <w:rFonts w:ascii="Calibre" w:hAnsi="Calibre"/>
          <w:sz w:val="24"/>
          <w:szCs w:val="32"/>
        </w:rPr>
        <w:t>ender, ethnicities</w:t>
      </w:r>
      <w:r w:rsidR="002D5BFD">
        <w:rPr>
          <w:rFonts w:ascii="Calibre" w:hAnsi="Calibre"/>
          <w:sz w:val="24"/>
          <w:szCs w:val="32"/>
        </w:rPr>
        <w:t>, disadvantage</w:t>
      </w:r>
      <w:r w:rsidR="00863C4A">
        <w:rPr>
          <w:rFonts w:ascii="Calibre" w:hAnsi="Calibre"/>
          <w:sz w:val="24"/>
          <w:szCs w:val="32"/>
        </w:rPr>
        <w:t>d</w:t>
      </w:r>
      <w:r w:rsidR="002D5BFD">
        <w:rPr>
          <w:rFonts w:ascii="Calibre" w:hAnsi="Calibre"/>
          <w:sz w:val="24"/>
          <w:szCs w:val="32"/>
        </w:rPr>
        <w:t xml:space="preserve"> groups,</w:t>
      </w:r>
      <w:r w:rsidRPr="009C2FAE">
        <w:rPr>
          <w:rFonts w:ascii="Calibre" w:hAnsi="Calibre"/>
          <w:sz w:val="24"/>
          <w:szCs w:val="32"/>
        </w:rPr>
        <w:t xml:space="preserve"> </w:t>
      </w:r>
      <w:r>
        <w:rPr>
          <w:rFonts w:ascii="Calibre" w:hAnsi="Calibre"/>
          <w:sz w:val="24"/>
          <w:szCs w:val="32"/>
        </w:rPr>
        <w:t>social inclusion, h</w:t>
      </w:r>
      <w:r w:rsidR="00C823AF">
        <w:rPr>
          <w:rFonts w:ascii="Calibre" w:hAnsi="Calibre"/>
          <w:sz w:val="24"/>
          <w:szCs w:val="32"/>
        </w:rPr>
        <w:t>uman</w:t>
      </w:r>
      <w:r>
        <w:rPr>
          <w:rFonts w:ascii="Calibre" w:hAnsi="Calibre"/>
          <w:sz w:val="24"/>
          <w:szCs w:val="32"/>
        </w:rPr>
        <w:t xml:space="preserve"> rights, </w:t>
      </w:r>
      <w:r w:rsidR="00C823AF">
        <w:rPr>
          <w:rFonts w:ascii="Calibre" w:hAnsi="Calibre"/>
          <w:sz w:val="24"/>
          <w:szCs w:val="32"/>
        </w:rPr>
        <w:t>environmental</w:t>
      </w:r>
      <w:r w:rsidR="00C823AF" w:rsidRPr="00110471">
        <w:rPr>
          <w:rFonts w:ascii="Calibre" w:hAnsi="Calibre"/>
          <w:iCs/>
          <w:sz w:val="24"/>
          <w:szCs w:val="32"/>
          <w:lang w:val="en-US"/>
        </w:rPr>
        <w:t xml:space="preserve"> development</w:t>
      </w:r>
      <w:r w:rsidR="00C823AF">
        <w:rPr>
          <w:rFonts w:ascii="Calibre" w:hAnsi="Calibre"/>
          <w:iCs/>
          <w:sz w:val="24"/>
          <w:szCs w:val="32"/>
          <w:lang w:val="en-US"/>
        </w:rPr>
        <w:t xml:space="preserve">, </w:t>
      </w:r>
      <w:r w:rsidR="00863C4A">
        <w:rPr>
          <w:rFonts w:ascii="Calibre" w:hAnsi="Calibre"/>
          <w:sz w:val="24"/>
          <w:szCs w:val="32"/>
        </w:rPr>
        <w:t>inequality</w:t>
      </w:r>
      <w:r w:rsidRPr="009C2FAE">
        <w:rPr>
          <w:rFonts w:ascii="Calibre" w:hAnsi="Calibre"/>
          <w:sz w:val="24"/>
          <w:szCs w:val="32"/>
        </w:rPr>
        <w:t>, sustainable development</w:t>
      </w:r>
      <w:r w:rsidR="00C823AF">
        <w:rPr>
          <w:rFonts w:ascii="Calibre" w:hAnsi="Calibre"/>
          <w:sz w:val="24"/>
          <w:szCs w:val="32"/>
        </w:rPr>
        <w:t xml:space="preserve"> and</w:t>
      </w:r>
      <w:r>
        <w:rPr>
          <w:rFonts w:ascii="Calibre" w:hAnsi="Calibre"/>
          <w:sz w:val="24"/>
          <w:szCs w:val="32"/>
        </w:rPr>
        <w:t xml:space="preserve"> </w:t>
      </w:r>
      <w:r w:rsidRPr="009C2FAE">
        <w:rPr>
          <w:rFonts w:ascii="Calibre" w:hAnsi="Calibre"/>
          <w:sz w:val="24"/>
          <w:szCs w:val="32"/>
        </w:rPr>
        <w:t xml:space="preserve">green growth </w:t>
      </w:r>
    </w:p>
    <w:p w14:paraId="7BB4A01E" w14:textId="4E986C72" w:rsidR="00605FDA" w:rsidRPr="002D5BFD" w:rsidRDefault="00605FDA" w:rsidP="002D5BFD">
      <w:pPr>
        <w:pStyle w:val="ListParagraph"/>
        <w:numPr>
          <w:ilvl w:val="0"/>
          <w:numId w:val="1"/>
        </w:numPr>
        <w:jc w:val="both"/>
        <w:rPr>
          <w:rFonts w:ascii="Calibre" w:hAnsi="Calibre"/>
          <w:b/>
          <w:bCs/>
          <w:sz w:val="24"/>
          <w:szCs w:val="32"/>
        </w:rPr>
      </w:pPr>
      <w:r w:rsidRPr="001F44E1">
        <w:rPr>
          <w:rFonts w:ascii="Calibre" w:hAnsi="Calibre"/>
          <w:b/>
          <w:bCs/>
          <w:sz w:val="24"/>
          <w:szCs w:val="32"/>
        </w:rPr>
        <w:t>Sub-theme</w:t>
      </w:r>
      <w:r w:rsidR="00C717A6">
        <w:rPr>
          <w:rFonts w:ascii="Calibre" w:hAnsi="Calibre"/>
          <w:b/>
          <w:bCs/>
          <w:sz w:val="24"/>
          <w:szCs w:val="32"/>
        </w:rPr>
        <w:t>s</w:t>
      </w:r>
    </w:p>
    <w:p w14:paraId="3EEF6C43" w14:textId="43218558" w:rsidR="00110471" w:rsidRPr="00110471" w:rsidRDefault="00784193" w:rsidP="00110471">
      <w:pPr>
        <w:numPr>
          <w:ilvl w:val="0"/>
          <w:numId w:val="3"/>
        </w:numPr>
        <w:jc w:val="both"/>
        <w:rPr>
          <w:rFonts w:ascii="Calibre" w:hAnsi="Calibre"/>
          <w:sz w:val="24"/>
          <w:szCs w:val="32"/>
          <w:lang w:val="en-US"/>
        </w:rPr>
      </w:pPr>
      <w:r w:rsidRPr="00784193">
        <w:rPr>
          <w:rFonts w:ascii="Calibre" w:hAnsi="Calibre"/>
          <w:b/>
          <w:bCs/>
          <w:iCs/>
          <w:sz w:val="24"/>
          <w:szCs w:val="32"/>
          <w:lang w:val="en-US"/>
        </w:rPr>
        <w:t>Actions to advance gender mainstreaming in policies and programmes</w:t>
      </w:r>
      <w:r w:rsidR="00110471" w:rsidRPr="00110471">
        <w:rPr>
          <w:rFonts w:ascii="Calibre" w:hAnsi="Calibre"/>
          <w:b/>
          <w:bCs/>
          <w:iCs/>
          <w:sz w:val="24"/>
          <w:szCs w:val="32"/>
          <w:lang w:val="en-US"/>
        </w:rPr>
        <w:t>:</w:t>
      </w:r>
      <w:r w:rsidR="00110471" w:rsidRPr="00110471">
        <w:rPr>
          <w:rFonts w:ascii="Calibre" w:hAnsi="Calibre"/>
          <w:sz w:val="24"/>
          <w:szCs w:val="32"/>
          <w:lang w:val="en-US"/>
        </w:rPr>
        <w:t xml:space="preserve"> This</w:t>
      </w:r>
      <w:r w:rsidR="009E4B67">
        <w:rPr>
          <w:rFonts w:ascii="Calibre" w:hAnsi="Calibre"/>
          <w:sz w:val="24"/>
          <w:szCs w:val="32"/>
          <w:lang w:val="en-US"/>
        </w:rPr>
        <w:t xml:space="preserve"> sub-</w:t>
      </w:r>
      <w:proofErr w:type="gramStart"/>
      <w:r w:rsidR="009E4B67">
        <w:rPr>
          <w:rFonts w:ascii="Calibre" w:hAnsi="Calibre"/>
          <w:sz w:val="24"/>
          <w:szCs w:val="32"/>
          <w:lang w:val="en-US"/>
        </w:rPr>
        <w:t>theme</w:t>
      </w:r>
      <w:r w:rsidR="00110471" w:rsidRPr="00110471">
        <w:rPr>
          <w:rFonts w:ascii="Calibre" w:hAnsi="Calibre"/>
          <w:sz w:val="24"/>
          <w:szCs w:val="32"/>
          <w:lang w:val="en-US"/>
        </w:rPr>
        <w:t xml:space="preserve">  will</w:t>
      </w:r>
      <w:proofErr w:type="gramEnd"/>
      <w:r w:rsidR="00110471" w:rsidRPr="00110471">
        <w:rPr>
          <w:rFonts w:ascii="Calibre" w:hAnsi="Calibre"/>
          <w:sz w:val="24"/>
          <w:szCs w:val="32"/>
          <w:lang w:val="en-US"/>
        </w:rPr>
        <w:t xml:space="preserve"> focus on examples of transformative practices that move beyond technical approaches and address questions of </w:t>
      </w:r>
      <w:r w:rsidRPr="00784193">
        <w:rPr>
          <w:rFonts w:ascii="Calibre" w:hAnsi="Calibre"/>
          <w:sz w:val="24"/>
          <w:szCs w:val="32"/>
          <w:lang w:val="en-US"/>
        </w:rPr>
        <w:t>gender equality and empowerment</w:t>
      </w:r>
      <w:r w:rsidR="00110471" w:rsidRPr="00110471">
        <w:rPr>
          <w:rFonts w:ascii="Calibre" w:hAnsi="Calibre"/>
          <w:sz w:val="24"/>
          <w:szCs w:val="32"/>
          <w:lang w:val="en-US"/>
        </w:rPr>
        <w:t>, power,</w:t>
      </w:r>
      <w:r w:rsidR="009E4B67">
        <w:rPr>
          <w:rFonts w:ascii="Calibre" w:hAnsi="Calibre"/>
          <w:sz w:val="24"/>
          <w:szCs w:val="32"/>
          <w:lang w:val="en-US"/>
        </w:rPr>
        <w:t xml:space="preserve"> and</w:t>
      </w:r>
      <w:r w:rsidR="00110471" w:rsidRPr="00110471">
        <w:rPr>
          <w:rFonts w:ascii="Calibre" w:hAnsi="Calibre"/>
          <w:sz w:val="24"/>
          <w:szCs w:val="32"/>
          <w:lang w:val="en-US"/>
        </w:rPr>
        <w:t xml:space="preserve"> difference</w:t>
      </w:r>
      <w:r w:rsidR="009E4B67">
        <w:rPr>
          <w:rFonts w:ascii="Calibre" w:hAnsi="Calibre"/>
          <w:sz w:val="24"/>
          <w:szCs w:val="32"/>
          <w:lang w:val="en-US"/>
        </w:rPr>
        <w:t>s</w:t>
      </w:r>
      <w:r w:rsidR="00110471" w:rsidRPr="00110471">
        <w:rPr>
          <w:rFonts w:ascii="Calibre" w:hAnsi="Calibre"/>
          <w:sz w:val="24"/>
          <w:szCs w:val="32"/>
          <w:lang w:val="en-US"/>
        </w:rPr>
        <w:t xml:space="preserve"> in  analys</w:t>
      </w:r>
      <w:r w:rsidR="009E4B67">
        <w:rPr>
          <w:rFonts w:ascii="Calibre" w:hAnsi="Calibre"/>
          <w:sz w:val="24"/>
          <w:szCs w:val="32"/>
          <w:lang w:val="en-US"/>
        </w:rPr>
        <w:t>es</w:t>
      </w:r>
      <w:r w:rsidR="00110471" w:rsidRPr="00110471">
        <w:rPr>
          <w:rFonts w:ascii="Calibre" w:hAnsi="Calibre"/>
          <w:sz w:val="24"/>
          <w:szCs w:val="32"/>
          <w:lang w:val="en-US"/>
        </w:rPr>
        <w:t xml:space="preserve"> of the underlying causes of gender and social injustices at various scales and within policy formulation and implementation.</w:t>
      </w:r>
    </w:p>
    <w:p w14:paraId="02191312" w14:textId="3B36C660" w:rsidR="00110471" w:rsidRPr="00110471" w:rsidRDefault="00110471" w:rsidP="00110471">
      <w:pPr>
        <w:numPr>
          <w:ilvl w:val="0"/>
          <w:numId w:val="3"/>
        </w:numPr>
        <w:jc w:val="both"/>
        <w:rPr>
          <w:rFonts w:ascii="Calibre" w:hAnsi="Calibre"/>
          <w:sz w:val="24"/>
          <w:szCs w:val="32"/>
          <w:lang w:val="en-US"/>
        </w:rPr>
      </w:pPr>
      <w:bookmarkStart w:id="1" w:name="_Hlk520127886"/>
      <w:r w:rsidRPr="00110471">
        <w:rPr>
          <w:rFonts w:ascii="Calibre" w:hAnsi="Calibre"/>
          <w:b/>
          <w:bCs/>
          <w:iCs/>
          <w:sz w:val="24"/>
          <w:szCs w:val="32"/>
          <w:lang w:val="en-US"/>
        </w:rPr>
        <w:t>Feminist alternatives to ‘green growth’</w:t>
      </w:r>
      <w:r w:rsidRPr="00110471">
        <w:rPr>
          <w:rFonts w:ascii="Calibre" w:hAnsi="Calibre"/>
          <w:sz w:val="24"/>
          <w:szCs w:val="32"/>
          <w:lang w:val="en-US"/>
        </w:rPr>
        <w:t>: ‘Green growth’ is increasingly promoted as a solution to environmental problems and wasteful</w:t>
      </w:r>
      <w:r w:rsidR="009E4B67">
        <w:rPr>
          <w:rFonts w:ascii="Calibre" w:hAnsi="Calibre"/>
          <w:sz w:val="24"/>
          <w:szCs w:val="32"/>
          <w:lang w:val="en-US"/>
        </w:rPr>
        <w:t xml:space="preserve"> resource</w:t>
      </w:r>
      <w:r w:rsidRPr="00110471">
        <w:rPr>
          <w:rFonts w:ascii="Calibre" w:hAnsi="Calibre"/>
          <w:sz w:val="24"/>
          <w:szCs w:val="32"/>
          <w:lang w:val="en-US"/>
        </w:rPr>
        <w:t xml:space="preserve"> use. This approach</w:t>
      </w:r>
      <w:r w:rsidR="009E4B67">
        <w:rPr>
          <w:rFonts w:ascii="Calibre" w:hAnsi="Calibre"/>
          <w:sz w:val="24"/>
          <w:szCs w:val="32"/>
          <w:lang w:val="en-US"/>
        </w:rPr>
        <w:t>,</w:t>
      </w:r>
      <w:r w:rsidRPr="00110471">
        <w:rPr>
          <w:rFonts w:ascii="Calibre" w:hAnsi="Calibre"/>
          <w:sz w:val="24"/>
          <w:szCs w:val="32"/>
          <w:lang w:val="en-US"/>
        </w:rPr>
        <w:t xml:space="preserve"> however, does not challenge existing gender and social inequalities</w:t>
      </w:r>
      <w:r w:rsidR="009E4B67">
        <w:rPr>
          <w:rFonts w:ascii="Calibre" w:hAnsi="Calibre"/>
          <w:sz w:val="24"/>
          <w:szCs w:val="32"/>
          <w:lang w:val="en-US"/>
        </w:rPr>
        <w:t>, with</w:t>
      </w:r>
      <w:r w:rsidRPr="00110471">
        <w:rPr>
          <w:rFonts w:ascii="Calibre" w:hAnsi="Calibre"/>
          <w:sz w:val="24"/>
          <w:szCs w:val="32"/>
          <w:lang w:val="en-US"/>
        </w:rPr>
        <w:t xml:space="preserve"> less focus </w:t>
      </w:r>
      <w:r w:rsidR="009E4B67">
        <w:rPr>
          <w:rFonts w:ascii="Calibre" w:hAnsi="Calibre"/>
          <w:sz w:val="24"/>
          <w:szCs w:val="32"/>
          <w:lang w:val="en-US"/>
        </w:rPr>
        <w:t>on</w:t>
      </w:r>
      <w:r w:rsidRPr="00110471">
        <w:rPr>
          <w:rFonts w:ascii="Calibre" w:hAnsi="Calibre"/>
          <w:sz w:val="24"/>
          <w:szCs w:val="32"/>
          <w:lang w:val="en-US"/>
        </w:rPr>
        <w:t xml:space="preserve"> who </w:t>
      </w:r>
      <w:proofErr w:type="gramStart"/>
      <w:r w:rsidRPr="00110471">
        <w:rPr>
          <w:rFonts w:ascii="Calibre" w:hAnsi="Calibre"/>
          <w:sz w:val="24"/>
          <w:szCs w:val="32"/>
          <w:lang w:val="en-US"/>
        </w:rPr>
        <w:t>actually</w:t>
      </w:r>
      <w:r w:rsidR="009E4B67">
        <w:rPr>
          <w:rFonts w:ascii="Calibre" w:hAnsi="Calibre"/>
          <w:sz w:val="24"/>
          <w:szCs w:val="32"/>
          <w:lang w:val="en-US"/>
        </w:rPr>
        <w:t xml:space="preserve"> </w:t>
      </w:r>
      <w:r w:rsidRPr="00110471">
        <w:rPr>
          <w:rFonts w:ascii="Calibre" w:hAnsi="Calibre"/>
          <w:sz w:val="24"/>
          <w:szCs w:val="32"/>
          <w:lang w:val="en-US"/>
        </w:rPr>
        <w:t xml:space="preserve"> benefit</w:t>
      </w:r>
      <w:r w:rsidR="009E4B67">
        <w:rPr>
          <w:rFonts w:ascii="Calibre" w:hAnsi="Calibre"/>
          <w:sz w:val="24"/>
          <w:szCs w:val="32"/>
          <w:lang w:val="en-US"/>
        </w:rPr>
        <w:t>s</w:t>
      </w:r>
      <w:proofErr w:type="gramEnd"/>
      <w:r w:rsidRPr="00110471">
        <w:rPr>
          <w:rFonts w:ascii="Calibre" w:hAnsi="Calibre"/>
          <w:sz w:val="24"/>
          <w:szCs w:val="32"/>
          <w:lang w:val="en-US"/>
        </w:rPr>
        <w:t xml:space="preserve"> from </w:t>
      </w:r>
      <w:r w:rsidR="009E4B67">
        <w:rPr>
          <w:rFonts w:ascii="Calibre" w:hAnsi="Calibre"/>
          <w:sz w:val="24"/>
          <w:szCs w:val="32"/>
          <w:lang w:val="en-US"/>
        </w:rPr>
        <w:t>it</w:t>
      </w:r>
      <w:r w:rsidRPr="00110471">
        <w:rPr>
          <w:rFonts w:ascii="Calibre" w:hAnsi="Calibre"/>
          <w:sz w:val="24"/>
          <w:szCs w:val="32"/>
          <w:lang w:val="en-US"/>
        </w:rPr>
        <w:t xml:space="preserve">. This theme will be dedicated to </w:t>
      </w:r>
      <w:r w:rsidR="00863C4A" w:rsidRPr="00110471">
        <w:rPr>
          <w:rFonts w:ascii="Calibre" w:hAnsi="Calibre"/>
          <w:sz w:val="24"/>
          <w:szCs w:val="32"/>
          <w:lang w:val="en-US"/>
        </w:rPr>
        <w:t>unpacking</w:t>
      </w:r>
      <w:r w:rsidRPr="00110471">
        <w:rPr>
          <w:rFonts w:ascii="Calibre" w:hAnsi="Calibre"/>
          <w:sz w:val="24"/>
          <w:szCs w:val="32"/>
          <w:lang w:val="en-US"/>
        </w:rPr>
        <w:t xml:space="preserve"> how different groups of resource users experience the production and effects of green growth</w:t>
      </w:r>
      <w:r w:rsidR="009E4B67">
        <w:rPr>
          <w:rFonts w:ascii="Calibre" w:hAnsi="Calibre"/>
          <w:sz w:val="24"/>
          <w:szCs w:val="32"/>
          <w:lang w:val="en-US"/>
        </w:rPr>
        <w:t xml:space="preserve">. It will also </w:t>
      </w:r>
      <w:r w:rsidR="009E4B67">
        <w:rPr>
          <w:rFonts w:ascii="Calibre" w:hAnsi="Calibre"/>
          <w:sz w:val="24"/>
          <w:szCs w:val="32"/>
          <w:lang w:val="en-US"/>
        </w:rPr>
        <w:lastRenderedPageBreak/>
        <w:t>investigate how</w:t>
      </w:r>
      <w:r w:rsidRPr="00110471">
        <w:rPr>
          <w:rFonts w:ascii="Calibre" w:hAnsi="Calibre"/>
          <w:sz w:val="24"/>
          <w:szCs w:val="32"/>
          <w:lang w:val="en-US"/>
        </w:rPr>
        <w:t xml:space="preserve"> green growth moves beyond borders, for </w:t>
      </w:r>
      <w:r w:rsidR="009E4B67">
        <w:rPr>
          <w:rFonts w:ascii="Calibre" w:hAnsi="Calibre"/>
          <w:sz w:val="24"/>
          <w:szCs w:val="32"/>
          <w:lang w:val="en-US"/>
        </w:rPr>
        <w:t>example</w:t>
      </w:r>
      <w:r w:rsidRPr="00110471">
        <w:rPr>
          <w:rFonts w:ascii="Calibre" w:hAnsi="Calibre"/>
          <w:sz w:val="24"/>
          <w:szCs w:val="32"/>
          <w:lang w:val="en-US"/>
        </w:rPr>
        <w:t>, through transnational land investments</w:t>
      </w:r>
      <w:r w:rsidR="009E4B67">
        <w:rPr>
          <w:rFonts w:ascii="Calibre" w:hAnsi="Calibre"/>
          <w:sz w:val="24"/>
          <w:szCs w:val="32"/>
          <w:lang w:val="en-US"/>
        </w:rPr>
        <w:t>.</w:t>
      </w:r>
      <w:r w:rsidRPr="00110471">
        <w:rPr>
          <w:rFonts w:ascii="Calibre" w:hAnsi="Calibre"/>
          <w:sz w:val="24"/>
          <w:szCs w:val="32"/>
          <w:lang w:val="en-US"/>
        </w:rPr>
        <w:t xml:space="preserve"> What are the environmental and gender</w:t>
      </w:r>
      <w:r w:rsidR="009E4B67">
        <w:rPr>
          <w:rFonts w:ascii="Calibre" w:hAnsi="Calibre"/>
          <w:sz w:val="24"/>
          <w:szCs w:val="32"/>
          <w:lang w:val="en-US"/>
        </w:rPr>
        <w:t xml:space="preserve"> inclusive</w:t>
      </w:r>
      <w:r w:rsidRPr="00110471">
        <w:rPr>
          <w:rFonts w:ascii="Calibre" w:hAnsi="Calibre"/>
          <w:sz w:val="24"/>
          <w:szCs w:val="32"/>
          <w:lang w:val="en-US"/>
        </w:rPr>
        <w:t xml:space="preserve"> alternatives to th</w:t>
      </w:r>
      <w:r w:rsidR="009E4B67">
        <w:rPr>
          <w:rFonts w:ascii="Calibre" w:hAnsi="Calibre"/>
          <w:sz w:val="24"/>
          <w:szCs w:val="32"/>
          <w:lang w:val="en-US"/>
        </w:rPr>
        <w:t>ese</w:t>
      </w:r>
      <w:r w:rsidRPr="00110471">
        <w:rPr>
          <w:rFonts w:ascii="Calibre" w:hAnsi="Calibre"/>
          <w:sz w:val="24"/>
          <w:szCs w:val="32"/>
          <w:lang w:val="en-US"/>
        </w:rPr>
        <w:t xml:space="preserve"> current production systems? </w:t>
      </w:r>
      <w:r w:rsidR="009E4B67">
        <w:rPr>
          <w:rFonts w:ascii="Calibre" w:hAnsi="Calibre"/>
          <w:sz w:val="24"/>
          <w:szCs w:val="32"/>
          <w:lang w:val="en-US"/>
        </w:rPr>
        <w:t>It will also ask h</w:t>
      </w:r>
      <w:r w:rsidRPr="00110471">
        <w:rPr>
          <w:rFonts w:ascii="Calibre" w:hAnsi="Calibre"/>
          <w:sz w:val="24"/>
          <w:szCs w:val="32"/>
          <w:lang w:val="en-US"/>
        </w:rPr>
        <w:t>ow</w:t>
      </w:r>
      <w:r w:rsidR="009E4B67">
        <w:rPr>
          <w:rFonts w:ascii="Calibre" w:hAnsi="Calibre"/>
          <w:sz w:val="24"/>
          <w:szCs w:val="32"/>
          <w:lang w:val="en-US"/>
        </w:rPr>
        <w:t xml:space="preserve"> these systems</w:t>
      </w:r>
      <w:r w:rsidRPr="00110471">
        <w:rPr>
          <w:rFonts w:ascii="Calibre" w:hAnsi="Calibre"/>
          <w:sz w:val="24"/>
          <w:szCs w:val="32"/>
          <w:lang w:val="en-US"/>
        </w:rPr>
        <w:t xml:space="preserve"> can be promoted through multi-stakeholder partnerships that bring together local and international partners </w:t>
      </w:r>
      <w:proofErr w:type="gramStart"/>
      <w:r w:rsidRPr="00110471">
        <w:rPr>
          <w:rFonts w:ascii="Calibre" w:hAnsi="Calibre"/>
          <w:sz w:val="24"/>
          <w:szCs w:val="32"/>
          <w:lang w:val="en-US"/>
        </w:rPr>
        <w:t>in  open</w:t>
      </w:r>
      <w:proofErr w:type="gramEnd"/>
      <w:r w:rsidRPr="00110471">
        <w:rPr>
          <w:rFonts w:ascii="Calibre" w:hAnsi="Calibre"/>
          <w:sz w:val="24"/>
          <w:szCs w:val="32"/>
          <w:lang w:val="en-US"/>
        </w:rPr>
        <w:t xml:space="preserve"> negotiation</w:t>
      </w:r>
      <w:r w:rsidR="009E4B67">
        <w:rPr>
          <w:rFonts w:ascii="Calibre" w:hAnsi="Calibre"/>
          <w:sz w:val="24"/>
          <w:szCs w:val="32"/>
          <w:lang w:val="en-US"/>
        </w:rPr>
        <w:t>s</w:t>
      </w:r>
      <w:r w:rsidRPr="00110471">
        <w:rPr>
          <w:rFonts w:ascii="Calibre" w:hAnsi="Calibre"/>
          <w:sz w:val="24"/>
          <w:szCs w:val="32"/>
          <w:lang w:val="en-US"/>
        </w:rPr>
        <w:t xml:space="preserve"> </w:t>
      </w:r>
      <w:r w:rsidR="009E4B67">
        <w:rPr>
          <w:rFonts w:ascii="Calibre" w:hAnsi="Calibre"/>
          <w:sz w:val="24"/>
          <w:szCs w:val="32"/>
          <w:lang w:val="en-US"/>
        </w:rPr>
        <w:t>with</w:t>
      </w:r>
      <w:r w:rsidRPr="00110471">
        <w:rPr>
          <w:rFonts w:ascii="Calibre" w:hAnsi="Calibre"/>
          <w:sz w:val="24"/>
          <w:szCs w:val="32"/>
          <w:lang w:val="en-US"/>
        </w:rPr>
        <w:t xml:space="preserve"> desired outcomes</w:t>
      </w:r>
      <w:r w:rsidR="009E4B67">
        <w:rPr>
          <w:rFonts w:ascii="Calibre" w:hAnsi="Calibre"/>
          <w:sz w:val="24"/>
          <w:szCs w:val="32"/>
          <w:lang w:val="en-US"/>
        </w:rPr>
        <w:t>.</w:t>
      </w:r>
    </w:p>
    <w:p w14:paraId="16FD4D05" w14:textId="42F43EAB" w:rsidR="00110471" w:rsidRPr="00110471" w:rsidRDefault="00110471" w:rsidP="00110471">
      <w:pPr>
        <w:numPr>
          <w:ilvl w:val="0"/>
          <w:numId w:val="3"/>
        </w:numPr>
        <w:jc w:val="both"/>
        <w:rPr>
          <w:rFonts w:ascii="Calibre" w:hAnsi="Calibre"/>
          <w:sz w:val="24"/>
          <w:szCs w:val="32"/>
          <w:lang w:val="en-US"/>
        </w:rPr>
      </w:pPr>
      <w:r w:rsidRPr="00110471">
        <w:rPr>
          <w:rFonts w:ascii="Calibre" w:hAnsi="Calibre"/>
          <w:b/>
          <w:bCs/>
          <w:sz w:val="24"/>
          <w:szCs w:val="32"/>
          <w:lang w:val="en-US"/>
        </w:rPr>
        <w:t>Multiple experiences of environmental change</w:t>
      </w:r>
      <w:r w:rsidR="00C015CF" w:rsidRPr="009A2842">
        <w:rPr>
          <w:rFonts w:ascii="Calibre" w:hAnsi="Calibre"/>
          <w:b/>
          <w:bCs/>
          <w:sz w:val="24"/>
          <w:szCs w:val="32"/>
          <w:lang w:val="en-US"/>
        </w:rPr>
        <w:t>s</w:t>
      </w:r>
      <w:r w:rsidRPr="00110471">
        <w:rPr>
          <w:rFonts w:ascii="Calibre" w:hAnsi="Calibre"/>
          <w:b/>
          <w:bCs/>
          <w:sz w:val="24"/>
          <w:szCs w:val="32"/>
          <w:lang w:val="en-US"/>
        </w:rPr>
        <w:t xml:space="preserve"> and development</w:t>
      </w:r>
      <w:r w:rsidRPr="00110471">
        <w:rPr>
          <w:rFonts w:ascii="Calibre" w:hAnsi="Calibre"/>
          <w:iCs/>
          <w:sz w:val="24"/>
          <w:szCs w:val="32"/>
          <w:lang w:val="en-US"/>
        </w:rPr>
        <w:t xml:space="preserve">: </w:t>
      </w:r>
      <w:r w:rsidR="00C015CF">
        <w:rPr>
          <w:rFonts w:ascii="Calibre" w:hAnsi="Calibre"/>
          <w:iCs/>
          <w:sz w:val="24"/>
          <w:szCs w:val="32"/>
          <w:lang w:val="en-US"/>
        </w:rPr>
        <w:t xml:space="preserve">Apart from addressing </w:t>
      </w:r>
      <w:r w:rsidRPr="00110471">
        <w:rPr>
          <w:rFonts w:ascii="Calibre" w:hAnsi="Calibre"/>
          <w:iCs/>
          <w:sz w:val="24"/>
          <w:szCs w:val="32"/>
          <w:lang w:val="en-US"/>
        </w:rPr>
        <w:t>the productive impacts</w:t>
      </w:r>
      <w:r w:rsidR="009E4B67">
        <w:rPr>
          <w:rFonts w:ascii="Calibre" w:hAnsi="Calibre"/>
          <w:iCs/>
          <w:sz w:val="24"/>
          <w:szCs w:val="32"/>
          <w:lang w:val="en-US"/>
        </w:rPr>
        <w:t xml:space="preserve"> of green growth</w:t>
      </w:r>
      <w:r w:rsidRPr="00110471">
        <w:rPr>
          <w:rFonts w:ascii="Calibre" w:hAnsi="Calibre"/>
          <w:iCs/>
          <w:sz w:val="24"/>
          <w:szCs w:val="32"/>
          <w:lang w:val="en-US"/>
        </w:rPr>
        <w:t xml:space="preserve"> on women’s livelihoods, there is a need to increase </w:t>
      </w:r>
      <w:r w:rsidRPr="00110471">
        <w:rPr>
          <w:rFonts w:ascii="Calibre" w:hAnsi="Calibre"/>
          <w:sz w:val="24"/>
          <w:szCs w:val="32"/>
          <w:lang w:val="en-US"/>
        </w:rPr>
        <w:t xml:space="preserve">knowledge </w:t>
      </w:r>
      <w:r w:rsidR="009E4B67">
        <w:rPr>
          <w:rFonts w:ascii="Calibre" w:hAnsi="Calibre"/>
          <w:sz w:val="24"/>
          <w:szCs w:val="32"/>
          <w:lang w:val="en-US"/>
        </w:rPr>
        <w:t>on</w:t>
      </w:r>
      <w:r w:rsidRPr="00110471">
        <w:rPr>
          <w:rFonts w:ascii="Calibre" w:hAnsi="Calibre"/>
          <w:sz w:val="24"/>
          <w:szCs w:val="32"/>
          <w:lang w:val="en-US"/>
        </w:rPr>
        <w:t xml:space="preserve"> women and men’s different </w:t>
      </w:r>
      <w:r w:rsidR="000C5038">
        <w:rPr>
          <w:rFonts w:ascii="Calibre" w:hAnsi="Calibre"/>
          <w:sz w:val="24"/>
          <w:szCs w:val="32"/>
          <w:lang w:val="en-US"/>
        </w:rPr>
        <w:t>experiences</w:t>
      </w:r>
      <w:r w:rsidRPr="00110471">
        <w:rPr>
          <w:rFonts w:ascii="Calibre" w:hAnsi="Calibre"/>
          <w:sz w:val="24"/>
          <w:szCs w:val="32"/>
          <w:lang w:val="en-US"/>
        </w:rPr>
        <w:t>. This</w:t>
      </w:r>
      <w:r w:rsidR="0042287C">
        <w:rPr>
          <w:rFonts w:ascii="Calibre" w:hAnsi="Calibre"/>
          <w:sz w:val="24"/>
          <w:szCs w:val="32"/>
          <w:lang w:val="en-US"/>
        </w:rPr>
        <w:t xml:space="preserve"> theme will explore this need, and will additionally</w:t>
      </w:r>
      <w:r w:rsidRPr="00110471">
        <w:rPr>
          <w:rFonts w:ascii="Calibre" w:hAnsi="Calibre"/>
          <w:sz w:val="24"/>
          <w:szCs w:val="32"/>
          <w:lang w:val="en-US"/>
        </w:rPr>
        <w:t xml:space="preserve"> include emotions, bodily effects such as disruptions </w:t>
      </w:r>
      <w:r w:rsidR="009E4B67">
        <w:rPr>
          <w:rFonts w:ascii="Calibre" w:hAnsi="Calibre"/>
          <w:sz w:val="24"/>
          <w:szCs w:val="32"/>
          <w:lang w:val="en-US"/>
        </w:rPr>
        <w:t>in</w:t>
      </w:r>
      <w:r w:rsidRPr="00110471">
        <w:rPr>
          <w:rFonts w:ascii="Calibre" w:hAnsi="Calibre"/>
          <w:sz w:val="24"/>
          <w:szCs w:val="32"/>
          <w:lang w:val="en-US"/>
        </w:rPr>
        <w:t xml:space="preserve"> health and physical well-being, and</w:t>
      </w:r>
      <w:r w:rsidR="0042287C">
        <w:rPr>
          <w:rFonts w:ascii="Calibre" w:hAnsi="Calibre"/>
          <w:sz w:val="24"/>
          <w:szCs w:val="32"/>
          <w:lang w:val="en-US"/>
        </w:rPr>
        <w:t xml:space="preserve"> the</w:t>
      </w:r>
      <w:r w:rsidRPr="00110471">
        <w:rPr>
          <w:rFonts w:ascii="Calibre" w:hAnsi="Calibre"/>
          <w:sz w:val="24"/>
          <w:szCs w:val="32"/>
          <w:lang w:val="en-US"/>
        </w:rPr>
        <w:t xml:space="preserve"> mobilit</w:t>
      </w:r>
      <w:r w:rsidR="0042287C">
        <w:rPr>
          <w:rFonts w:ascii="Calibre" w:hAnsi="Calibre"/>
          <w:sz w:val="24"/>
          <w:szCs w:val="32"/>
          <w:lang w:val="en-US"/>
        </w:rPr>
        <w:t>y</w:t>
      </w:r>
      <w:r w:rsidRPr="00110471">
        <w:rPr>
          <w:rFonts w:ascii="Calibre" w:hAnsi="Calibre"/>
          <w:sz w:val="24"/>
          <w:szCs w:val="32"/>
          <w:lang w:val="en-US"/>
        </w:rPr>
        <w:t xml:space="preserve"> of resource users affected by environmental and climate change. </w:t>
      </w:r>
      <w:bookmarkEnd w:id="1"/>
    </w:p>
    <w:p w14:paraId="0E806421" w14:textId="41CB3016" w:rsidR="00110471" w:rsidRPr="00110471" w:rsidRDefault="00110471" w:rsidP="00110471">
      <w:pPr>
        <w:numPr>
          <w:ilvl w:val="0"/>
          <w:numId w:val="3"/>
        </w:numPr>
        <w:jc w:val="both"/>
        <w:rPr>
          <w:rFonts w:ascii="Calibre" w:hAnsi="Calibre"/>
          <w:sz w:val="24"/>
          <w:szCs w:val="32"/>
          <w:lang w:val="en-US"/>
        </w:rPr>
      </w:pPr>
      <w:r w:rsidRPr="00110471">
        <w:rPr>
          <w:rFonts w:ascii="Calibre" w:hAnsi="Calibre"/>
          <w:b/>
          <w:bCs/>
          <w:iCs/>
          <w:sz w:val="24"/>
          <w:szCs w:val="32"/>
          <w:lang w:val="en-US"/>
        </w:rPr>
        <w:t>Redefining resilience for sustainable and empowering development</w:t>
      </w:r>
      <w:r w:rsidRPr="00110471">
        <w:rPr>
          <w:rFonts w:ascii="Calibre" w:hAnsi="Calibre"/>
          <w:i/>
          <w:sz w:val="24"/>
          <w:szCs w:val="32"/>
          <w:lang w:val="en-US"/>
        </w:rPr>
        <w:t>:</w:t>
      </w:r>
      <w:r w:rsidRPr="00110471">
        <w:rPr>
          <w:rFonts w:ascii="Calibre" w:hAnsi="Calibre"/>
          <w:sz w:val="24"/>
          <w:szCs w:val="32"/>
          <w:lang w:val="en-US"/>
        </w:rPr>
        <w:t xml:space="preserve"> This theme e</w:t>
      </w:r>
      <w:r w:rsidR="009A2842">
        <w:rPr>
          <w:rFonts w:ascii="Calibre" w:hAnsi="Calibre"/>
          <w:sz w:val="24"/>
          <w:szCs w:val="32"/>
          <w:lang w:val="en-US"/>
        </w:rPr>
        <w:t>xplores whether</w:t>
      </w:r>
      <w:r w:rsidR="0042287C">
        <w:rPr>
          <w:rFonts w:ascii="Calibre" w:hAnsi="Calibre"/>
          <w:sz w:val="24"/>
          <w:szCs w:val="32"/>
          <w:lang w:val="en-US"/>
        </w:rPr>
        <w:t>,</w:t>
      </w:r>
      <w:r w:rsidR="009A2842">
        <w:rPr>
          <w:rFonts w:ascii="Calibre" w:hAnsi="Calibre"/>
          <w:sz w:val="24"/>
          <w:szCs w:val="32"/>
          <w:lang w:val="en-US"/>
        </w:rPr>
        <w:t xml:space="preserve"> and how</w:t>
      </w:r>
      <w:r w:rsidR="0042287C">
        <w:rPr>
          <w:rFonts w:ascii="Calibre" w:hAnsi="Calibre"/>
          <w:sz w:val="24"/>
          <w:szCs w:val="32"/>
          <w:lang w:val="en-US"/>
        </w:rPr>
        <w:t>,</w:t>
      </w:r>
      <w:r w:rsidR="009A2842">
        <w:rPr>
          <w:rFonts w:ascii="Calibre" w:hAnsi="Calibre"/>
          <w:sz w:val="24"/>
          <w:szCs w:val="32"/>
          <w:lang w:val="en-US"/>
        </w:rPr>
        <w:t xml:space="preserve"> </w:t>
      </w:r>
      <w:r w:rsidRPr="00110471">
        <w:rPr>
          <w:rFonts w:ascii="Calibre" w:hAnsi="Calibre"/>
          <w:sz w:val="24"/>
          <w:szCs w:val="32"/>
          <w:lang w:val="en-US"/>
        </w:rPr>
        <w:t xml:space="preserve">promising resilience-building strategies that go beyond technocratic means have the potential for gender inequality transformation and social and environmental justice. What can we learn from these strategies and practices </w:t>
      </w:r>
      <w:r w:rsidR="0042287C">
        <w:rPr>
          <w:rFonts w:ascii="Calibre" w:hAnsi="Calibre"/>
          <w:sz w:val="24"/>
          <w:szCs w:val="32"/>
          <w:lang w:val="en-US"/>
        </w:rPr>
        <w:t xml:space="preserve">to </w:t>
      </w:r>
      <w:r w:rsidRPr="00110471">
        <w:rPr>
          <w:rFonts w:ascii="Calibre" w:hAnsi="Calibre"/>
          <w:sz w:val="24"/>
          <w:szCs w:val="32"/>
          <w:lang w:val="en-US"/>
        </w:rPr>
        <w:t>guide more transformative resilience-building?</w:t>
      </w:r>
    </w:p>
    <w:p w14:paraId="153B2751" w14:textId="195FF9BD" w:rsidR="00014A25" w:rsidRDefault="00014A25" w:rsidP="00605FDA">
      <w:pPr>
        <w:pStyle w:val="ListParagraph"/>
        <w:jc w:val="both"/>
        <w:rPr>
          <w:rFonts w:ascii="Calibre" w:hAnsi="Calibre"/>
          <w:sz w:val="24"/>
          <w:szCs w:val="32"/>
        </w:rPr>
      </w:pPr>
    </w:p>
    <w:p w14:paraId="27094509" w14:textId="4CE81709" w:rsidR="00A3134E" w:rsidRDefault="00A3134E" w:rsidP="00026D37">
      <w:pPr>
        <w:pStyle w:val="ListParagraph"/>
        <w:jc w:val="both"/>
      </w:pPr>
    </w:p>
    <w:sectPr w:rsidR="00A3134E" w:rsidSect="00794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altName w:val="Arial"/>
    <w:panose1 w:val="020B0604020202020204"/>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e">
    <w:altName w:val="Calibri"/>
    <w:panose1 w:val="020B0604020202020204"/>
    <w:charset w:val="00"/>
    <w:family w:val="swiss"/>
    <w:pitch w:val="variable"/>
    <w:sig w:usb0="A000002F" w:usb1="4000045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F26A2"/>
    <w:multiLevelType w:val="hybridMultilevel"/>
    <w:tmpl w:val="20887F0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 w15:restartNumberingAfterBreak="0">
    <w:nsid w:val="3B0F708F"/>
    <w:multiLevelType w:val="hybridMultilevel"/>
    <w:tmpl w:val="D16474CA"/>
    <w:lvl w:ilvl="0" w:tplc="F252F20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297C8C"/>
    <w:multiLevelType w:val="hybridMultilevel"/>
    <w:tmpl w:val="D9621924"/>
    <w:lvl w:ilvl="0" w:tplc="FC4474DE">
      <w:start w:val="1"/>
      <w:numFmt w:val="decimal"/>
      <w:lvlText w:val="%1)"/>
      <w:lvlJc w:val="left"/>
      <w:pPr>
        <w:ind w:left="720" w:hanging="360"/>
      </w:pPr>
      <w:rPr>
        <w:rFonts w:hint="default"/>
        <w:b/>
        <w:bCs/>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4E"/>
    <w:rsid w:val="00014A25"/>
    <w:rsid w:val="00026D37"/>
    <w:rsid w:val="00080A6C"/>
    <w:rsid w:val="0008392A"/>
    <w:rsid w:val="000C5038"/>
    <w:rsid w:val="00110471"/>
    <w:rsid w:val="001A1EF9"/>
    <w:rsid w:val="001C52B3"/>
    <w:rsid w:val="001F44E1"/>
    <w:rsid w:val="002620E7"/>
    <w:rsid w:val="00295CD7"/>
    <w:rsid w:val="002D4535"/>
    <w:rsid w:val="002D5BFD"/>
    <w:rsid w:val="003245E9"/>
    <w:rsid w:val="003D4FD2"/>
    <w:rsid w:val="0042287C"/>
    <w:rsid w:val="00537A85"/>
    <w:rsid w:val="00605FDA"/>
    <w:rsid w:val="006A1AD4"/>
    <w:rsid w:val="0075630C"/>
    <w:rsid w:val="00784193"/>
    <w:rsid w:val="007940B9"/>
    <w:rsid w:val="007D1796"/>
    <w:rsid w:val="00863C4A"/>
    <w:rsid w:val="00954E25"/>
    <w:rsid w:val="00962B34"/>
    <w:rsid w:val="009A2842"/>
    <w:rsid w:val="009C2FAE"/>
    <w:rsid w:val="009E4B67"/>
    <w:rsid w:val="00A3134E"/>
    <w:rsid w:val="00B12287"/>
    <w:rsid w:val="00BE43B0"/>
    <w:rsid w:val="00BF34F9"/>
    <w:rsid w:val="00C015CF"/>
    <w:rsid w:val="00C20C70"/>
    <w:rsid w:val="00C32F6E"/>
    <w:rsid w:val="00C717A6"/>
    <w:rsid w:val="00C823AF"/>
    <w:rsid w:val="00CF7B0F"/>
    <w:rsid w:val="00DB50D0"/>
    <w:rsid w:val="00E47BBB"/>
    <w:rsid w:val="00EF3B8B"/>
    <w:rsid w:val="00F02B2D"/>
  </w:rsids>
  <m:mathPr>
    <m:mathFont m:val="Cambria Math"/>
    <m:brkBin m:val="before"/>
    <m:brkBinSub m:val="--"/>
    <m:smallFrac m:val="0"/>
    <m:dispDef/>
    <m:lMargin m:val="0"/>
    <m:rMargin m:val="0"/>
    <m:defJc m:val="centerGroup"/>
    <m:wrapIndent m:val="1440"/>
    <m:intLim m:val="subSup"/>
    <m:naryLim m:val="undOvr"/>
  </m:mathPr>
  <w:themeFontLang w:val="en-US" w:eastAsia="en-GB"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81F8F"/>
  <w15:docId w15:val="{BA71DF86-5A5C-824A-98B3-82FBFAA3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34E"/>
    <w:pPr>
      <w:ind w:left="720"/>
      <w:contextualSpacing/>
    </w:pPr>
  </w:style>
  <w:style w:type="character" w:styleId="CommentReference">
    <w:name w:val="annotation reference"/>
    <w:basedOn w:val="DefaultParagraphFont"/>
    <w:uiPriority w:val="99"/>
    <w:semiHidden/>
    <w:unhideWhenUsed/>
    <w:rsid w:val="00605FDA"/>
    <w:rPr>
      <w:sz w:val="16"/>
      <w:szCs w:val="16"/>
    </w:rPr>
  </w:style>
  <w:style w:type="paragraph" w:styleId="CommentText">
    <w:name w:val="annotation text"/>
    <w:basedOn w:val="Normal"/>
    <w:link w:val="CommentTextChar"/>
    <w:uiPriority w:val="99"/>
    <w:semiHidden/>
    <w:unhideWhenUsed/>
    <w:rsid w:val="00605FDA"/>
    <w:pPr>
      <w:spacing w:line="240" w:lineRule="auto"/>
    </w:pPr>
    <w:rPr>
      <w:sz w:val="20"/>
      <w:szCs w:val="25"/>
    </w:rPr>
  </w:style>
  <w:style w:type="character" w:customStyle="1" w:styleId="CommentTextChar">
    <w:name w:val="Comment Text Char"/>
    <w:basedOn w:val="DefaultParagraphFont"/>
    <w:link w:val="CommentText"/>
    <w:uiPriority w:val="99"/>
    <w:semiHidden/>
    <w:rsid w:val="00605FDA"/>
    <w:rPr>
      <w:sz w:val="20"/>
      <w:szCs w:val="25"/>
    </w:rPr>
  </w:style>
  <w:style w:type="paragraph" w:styleId="CommentSubject">
    <w:name w:val="annotation subject"/>
    <w:basedOn w:val="CommentText"/>
    <w:next w:val="CommentText"/>
    <w:link w:val="CommentSubjectChar"/>
    <w:uiPriority w:val="99"/>
    <w:semiHidden/>
    <w:unhideWhenUsed/>
    <w:rsid w:val="00605FDA"/>
    <w:rPr>
      <w:b/>
      <w:bCs/>
    </w:rPr>
  </w:style>
  <w:style w:type="character" w:customStyle="1" w:styleId="CommentSubjectChar">
    <w:name w:val="Comment Subject Char"/>
    <w:basedOn w:val="CommentTextChar"/>
    <w:link w:val="CommentSubject"/>
    <w:uiPriority w:val="99"/>
    <w:semiHidden/>
    <w:rsid w:val="00605FDA"/>
    <w:rPr>
      <w:b/>
      <w:bCs/>
      <w:sz w:val="20"/>
      <w:szCs w:val="25"/>
    </w:rPr>
  </w:style>
  <w:style w:type="paragraph" w:styleId="BalloonText">
    <w:name w:val="Balloon Text"/>
    <w:basedOn w:val="Normal"/>
    <w:link w:val="BalloonTextChar"/>
    <w:uiPriority w:val="99"/>
    <w:semiHidden/>
    <w:unhideWhenUsed/>
    <w:rsid w:val="00605FD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05FDA"/>
    <w:rPr>
      <w:rFonts w:ascii="Segoe UI" w:hAnsi="Segoe UI" w:cs="Angsana New"/>
      <w:sz w:val="18"/>
      <w:szCs w:val="22"/>
    </w:rPr>
  </w:style>
  <w:style w:type="paragraph" w:styleId="Revision">
    <w:name w:val="Revision"/>
    <w:hidden/>
    <w:uiPriority w:val="99"/>
    <w:semiHidden/>
    <w:rsid w:val="00DB50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 Nugroho</dc:creator>
  <cp:keywords/>
  <dc:description/>
  <cp:lastModifiedBy>Wanaporn Yangyuentham</cp:lastModifiedBy>
  <cp:revision>2</cp:revision>
  <dcterms:created xsi:type="dcterms:W3CDTF">2019-01-07T07:48:00Z</dcterms:created>
  <dcterms:modified xsi:type="dcterms:W3CDTF">2019-01-07T07:48:00Z</dcterms:modified>
</cp:coreProperties>
</file>