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33541" w14:textId="77777777" w:rsidR="00220037" w:rsidRPr="00096A22" w:rsidRDefault="00667874" w:rsidP="00667874">
      <w:pPr>
        <w:pStyle w:val="Title"/>
      </w:pPr>
      <w:r w:rsidRPr="00096A22">
        <w:t>SDG 17</w:t>
      </w:r>
      <w:r w:rsidR="00C7502D">
        <w:t>:</w:t>
      </w:r>
    </w:p>
    <w:p w14:paraId="778EE51D" w14:textId="459FB594" w:rsidR="00667874" w:rsidRPr="00096A22" w:rsidRDefault="00C7502D" w:rsidP="00667874">
      <w:pPr>
        <w:pStyle w:val="Title"/>
      </w:pPr>
      <w:r>
        <w:t>P</w:t>
      </w:r>
      <w:r w:rsidR="00B811F7" w:rsidRPr="00096A22">
        <w:t xml:space="preserve">artnerships for the </w:t>
      </w:r>
      <w:r>
        <w:t>G</w:t>
      </w:r>
      <w:r w:rsidR="00B811F7" w:rsidRPr="00096A22">
        <w:t>oals</w:t>
      </w:r>
    </w:p>
    <w:p w14:paraId="0C60F25D" w14:textId="77777777" w:rsidR="00414A98" w:rsidRPr="00BC295C" w:rsidRDefault="00B9410E" w:rsidP="00414A98">
      <w:pPr>
        <w:pStyle w:val="Subtitle"/>
        <w:rPr>
          <w:lang w:val="en-US"/>
        </w:rPr>
      </w:pPr>
      <w:r w:rsidRPr="00BC295C">
        <w:rPr>
          <w:lang w:val="en-US"/>
        </w:rPr>
        <w:t>A review of research needs</w:t>
      </w:r>
    </w:p>
    <w:p w14:paraId="6F048740" w14:textId="77777777" w:rsidR="00414A98" w:rsidRDefault="00414A98" w:rsidP="00414A98">
      <w:pPr>
        <w:pStyle w:val="Subtitle"/>
        <w:rPr>
          <w:lang w:val="sv-SE"/>
        </w:rPr>
      </w:pPr>
      <w:r w:rsidRPr="0037244A">
        <w:rPr>
          <w:lang w:val="sv-SE"/>
        </w:rPr>
        <w:t xml:space="preserve">Annex to the Formas report </w:t>
      </w:r>
      <w:r w:rsidRPr="0037244A">
        <w:rPr>
          <w:i/>
          <w:iCs w:val="0"/>
          <w:lang w:val="sv-SE"/>
        </w:rPr>
        <w:t>Forskning för Agenda 2030</w:t>
      </w:r>
      <w:r>
        <w:rPr>
          <w:i/>
          <w:iCs w:val="0"/>
          <w:lang w:val="sv-SE"/>
        </w:rPr>
        <w:t>:</w:t>
      </w:r>
      <w:r w:rsidRPr="0037244A">
        <w:rPr>
          <w:i/>
          <w:iCs w:val="0"/>
          <w:lang w:val="sv-SE"/>
        </w:rPr>
        <w:t xml:space="preserve"> Översikt av forskningsbehov och vägar framåt</w:t>
      </w:r>
    </w:p>
    <w:p w14:paraId="47F68A49" w14:textId="3FC12065" w:rsidR="00414A98" w:rsidRPr="00BC295C" w:rsidRDefault="0014378D" w:rsidP="00414A98">
      <w:pPr>
        <w:pStyle w:val="Subtitle"/>
        <w:rPr>
          <w:lang w:val="en-US"/>
        </w:rPr>
      </w:pPr>
      <w:r>
        <w:t xml:space="preserve">November </w:t>
      </w:r>
      <w:r w:rsidR="00D16C2B" w:rsidRPr="00096A22">
        <w:t>2018</w:t>
      </w:r>
    </w:p>
    <w:p w14:paraId="5DF0770D" w14:textId="77777777" w:rsidR="00414A98" w:rsidRPr="00414A98" w:rsidRDefault="00414A98" w:rsidP="00414A98"/>
    <w:p w14:paraId="7EE15302" w14:textId="1B05DA71" w:rsidR="00B9410E" w:rsidRPr="00096A22" w:rsidRDefault="008352FF" w:rsidP="00B9410E">
      <w:pPr>
        <w:pStyle w:val="Subtitle"/>
      </w:pPr>
      <w:r w:rsidRPr="00096A22">
        <w:t xml:space="preserve">Aaron Maltais, Nina Weitz </w:t>
      </w:r>
      <w:r w:rsidR="004A7123">
        <w:t>and</w:t>
      </w:r>
      <w:r w:rsidR="0014378D">
        <w:t xml:space="preserve"> </w:t>
      </w:r>
      <w:r w:rsidRPr="00096A22">
        <w:t>Åsa Persson</w:t>
      </w:r>
    </w:p>
    <w:p w14:paraId="253A6F96" w14:textId="77777777" w:rsidR="008352FF" w:rsidRPr="00096A22" w:rsidRDefault="008352FF" w:rsidP="008352FF"/>
    <w:p w14:paraId="60F12AF4" w14:textId="77777777" w:rsidR="00D16C2B" w:rsidRPr="00096A22" w:rsidRDefault="00D16C2B" w:rsidP="00D16C2B"/>
    <w:p w14:paraId="1F09AD62" w14:textId="77777777" w:rsidR="00F76C8D" w:rsidRPr="00096A22" w:rsidRDefault="00F76C8D" w:rsidP="00B9410E">
      <w:pPr>
        <w:pStyle w:val="Heading1"/>
        <w:numPr>
          <w:ilvl w:val="0"/>
          <w:numId w:val="0"/>
        </w:numPr>
        <w:ind w:left="432" w:hanging="432"/>
      </w:pPr>
    </w:p>
    <w:p w14:paraId="5C86C155" w14:textId="77777777" w:rsidR="00405107" w:rsidRPr="00966114" w:rsidRDefault="00405107" w:rsidP="00E007A3">
      <w:pPr>
        <w:rPr>
          <w:lang w:val="en-US"/>
        </w:rPr>
      </w:pPr>
      <w:r>
        <w:t xml:space="preserve">Cite this technical annex as: </w:t>
      </w:r>
      <w:r w:rsidRPr="00966114">
        <w:rPr>
          <w:lang w:val="en-US"/>
        </w:rPr>
        <w:t xml:space="preserve">Maltais, A., Weitz, N. and Persson, Å. (2018). </w:t>
      </w:r>
      <w:r w:rsidRPr="00966114">
        <w:rPr>
          <w:i/>
          <w:iCs/>
          <w:lang w:val="en-US"/>
        </w:rPr>
        <w:t xml:space="preserve">SDG 17: Partnerships for the Goals. </w:t>
      </w:r>
      <w:r w:rsidRPr="00405107">
        <w:rPr>
          <w:i/>
          <w:iCs/>
          <w:lang w:val="en-US"/>
        </w:rPr>
        <w:t>A Review of Research Needs.</w:t>
      </w:r>
      <w:r w:rsidRPr="00405107">
        <w:rPr>
          <w:lang w:val="en-US"/>
        </w:rPr>
        <w:t xml:space="preserve"> </w:t>
      </w:r>
      <w:r w:rsidRPr="00966114">
        <w:rPr>
          <w:lang w:val="sv-SE"/>
        </w:rPr>
        <w:t xml:space="preserve">Technical annex to the Formas report Forskning för Agenda 2030: Översikt av forskningsbehov och vägar framåt. </w:t>
      </w:r>
      <w:r w:rsidRPr="00966114">
        <w:rPr>
          <w:lang w:val="en-US"/>
        </w:rPr>
        <w:t>Stockholm Environment Insitute, Stockholm.</w:t>
      </w:r>
    </w:p>
    <w:p w14:paraId="514D3ACE" w14:textId="5B93BCD5" w:rsidR="00925760" w:rsidRPr="00096A22" w:rsidRDefault="00925760" w:rsidP="00925760"/>
    <w:p w14:paraId="1AD5BF23" w14:textId="4C487648" w:rsidR="00F76C8D" w:rsidRPr="00096A22" w:rsidRDefault="00F76C8D">
      <w:pPr>
        <w:spacing w:after="0" w:line="240" w:lineRule="auto"/>
        <w:ind w:right="0"/>
        <w:rPr>
          <w:rFonts w:asciiTheme="majorHAnsi" w:eastAsiaTheme="majorEastAsia" w:hAnsiTheme="majorHAnsi" w:cstheme="majorBidi"/>
          <w:b/>
          <w:bCs/>
          <w:color w:val="263238"/>
          <w:sz w:val="40"/>
          <w:szCs w:val="32"/>
        </w:rPr>
      </w:pPr>
      <w:r w:rsidRPr="00096A22">
        <w:br w:type="page"/>
      </w:r>
    </w:p>
    <w:p w14:paraId="15127470" w14:textId="77777777" w:rsidR="00B9410E" w:rsidRPr="00096A22" w:rsidRDefault="00B9410E" w:rsidP="00D927F8">
      <w:pPr>
        <w:pStyle w:val="Heading1"/>
        <w:numPr>
          <w:ilvl w:val="0"/>
          <w:numId w:val="0"/>
        </w:numPr>
        <w:tabs>
          <w:tab w:val="left" w:pos="6018"/>
        </w:tabs>
        <w:ind w:left="432" w:hanging="432"/>
      </w:pPr>
      <w:bookmarkStart w:id="0" w:name="_Toc529789821"/>
      <w:r w:rsidRPr="00096A22">
        <w:lastRenderedPageBreak/>
        <w:t>Table of contents</w:t>
      </w:r>
      <w:bookmarkEnd w:id="0"/>
      <w:r w:rsidR="00D927F8" w:rsidRPr="00096A22">
        <w:tab/>
      </w:r>
    </w:p>
    <w:bookmarkStart w:id="1" w:name="_GoBack"/>
    <w:bookmarkEnd w:id="1"/>
    <w:p w14:paraId="2D5DB544" w14:textId="3C54F32E" w:rsidR="009A0957" w:rsidRDefault="00B9410E">
      <w:pPr>
        <w:pStyle w:val="TOC1"/>
        <w:tabs>
          <w:tab w:val="right" w:leader="dot" w:pos="8716"/>
        </w:tabs>
        <w:rPr>
          <w:b w:val="0"/>
          <w:noProof/>
          <w:color w:val="auto"/>
          <w:sz w:val="24"/>
          <w:szCs w:val="24"/>
          <w:lang w:val="sv-SE"/>
        </w:rPr>
      </w:pPr>
      <w:r w:rsidRPr="00096A22">
        <w:fldChar w:fldCharType="begin"/>
      </w:r>
      <w:r w:rsidRPr="00096A22">
        <w:instrText xml:space="preserve"> TOC \o "1-3" \h \z \u </w:instrText>
      </w:r>
      <w:r w:rsidRPr="00096A22">
        <w:fldChar w:fldCharType="separate"/>
      </w:r>
      <w:hyperlink w:anchor="_Toc529789821" w:history="1">
        <w:r w:rsidR="009A0957" w:rsidRPr="00301C50">
          <w:rPr>
            <w:rStyle w:val="Hyperlink"/>
            <w:noProof/>
          </w:rPr>
          <w:t>Table of contents</w:t>
        </w:r>
        <w:r w:rsidR="009A0957">
          <w:rPr>
            <w:noProof/>
            <w:webHidden/>
          </w:rPr>
          <w:tab/>
        </w:r>
        <w:r w:rsidR="009A0957">
          <w:rPr>
            <w:noProof/>
            <w:webHidden/>
          </w:rPr>
          <w:fldChar w:fldCharType="begin"/>
        </w:r>
        <w:r w:rsidR="009A0957">
          <w:rPr>
            <w:noProof/>
            <w:webHidden/>
          </w:rPr>
          <w:instrText xml:space="preserve"> PAGEREF _Toc529789821 \h </w:instrText>
        </w:r>
        <w:r w:rsidR="009A0957">
          <w:rPr>
            <w:noProof/>
            <w:webHidden/>
          </w:rPr>
        </w:r>
        <w:r w:rsidR="009A0957">
          <w:rPr>
            <w:noProof/>
            <w:webHidden/>
          </w:rPr>
          <w:fldChar w:fldCharType="separate"/>
        </w:r>
        <w:r w:rsidR="009A0957">
          <w:rPr>
            <w:noProof/>
            <w:webHidden/>
          </w:rPr>
          <w:t>3</w:t>
        </w:r>
        <w:r w:rsidR="009A0957">
          <w:rPr>
            <w:noProof/>
            <w:webHidden/>
          </w:rPr>
          <w:fldChar w:fldCharType="end"/>
        </w:r>
      </w:hyperlink>
    </w:p>
    <w:p w14:paraId="7EFFCE9C" w14:textId="73F51AEB" w:rsidR="009A0957" w:rsidRDefault="009A0957">
      <w:pPr>
        <w:pStyle w:val="TOC1"/>
        <w:tabs>
          <w:tab w:val="right" w:leader="dot" w:pos="8716"/>
        </w:tabs>
        <w:rPr>
          <w:b w:val="0"/>
          <w:noProof/>
          <w:color w:val="auto"/>
          <w:sz w:val="24"/>
          <w:szCs w:val="24"/>
          <w:lang w:val="sv-SE"/>
        </w:rPr>
      </w:pPr>
      <w:hyperlink w:anchor="_Toc529789822" w:history="1">
        <w:r w:rsidRPr="00301C50">
          <w:rPr>
            <w:rStyle w:val="Hyperlink"/>
            <w:noProof/>
          </w:rPr>
          <w:t>Summary</w:t>
        </w:r>
        <w:r>
          <w:rPr>
            <w:noProof/>
            <w:webHidden/>
          </w:rPr>
          <w:tab/>
        </w:r>
        <w:r>
          <w:rPr>
            <w:noProof/>
            <w:webHidden/>
          </w:rPr>
          <w:fldChar w:fldCharType="begin"/>
        </w:r>
        <w:r>
          <w:rPr>
            <w:noProof/>
            <w:webHidden/>
          </w:rPr>
          <w:instrText xml:space="preserve"> PAGEREF _Toc529789822 \h </w:instrText>
        </w:r>
        <w:r>
          <w:rPr>
            <w:noProof/>
            <w:webHidden/>
          </w:rPr>
        </w:r>
        <w:r>
          <w:rPr>
            <w:noProof/>
            <w:webHidden/>
          </w:rPr>
          <w:fldChar w:fldCharType="separate"/>
        </w:r>
        <w:r>
          <w:rPr>
            <w:noProof/>
            <w:webHidden/>
          </w:rPr>
          <w:t>5</w:t>
        </w:r>
        <w:r>
          <w:rPr>
            <w:noProof/>
            <w:webHidden/>
          </w:rPr>
          <w:fldChar w:fldCharType="end"/>
        </w:r>
      </w:hyperlink>
    </w:p>
    <w:p w14:paraId="36A63FDE" w14:textId="44B45385" w:rsidR="009A0957" w:rsidRDefault="009A0957">
      <w:pPr>
        <w:pStyle w:val="TOC2"/>
        <w:rPr>
          <w:color w:val="auto"/>
          <w:sz w:val="24"/>
          <w:szCs w:val="24"/>
          <w:lang w:val="sv-SE"/>
        </w:rPr>
      </w:pPr>
      <w:hyperlink w:anchor="_Toc529789823" w:history="1">
        <w:r w:rsidRPr="00301C50">
          <w:rPr>
            <w:rStyle w:val="Hyperlink"/>
          </w:rPr>
          <w:t>Overview of the goals and targets</w:t>
        </w:r>
        <w:r>
          <w:rPr>
            <w:webHidden/>
          </w:rPr>
          <w:tab/>
        </w:r>
        <w:r>
          <w:rPr>
            <w:webHidden/>
          </w:rPr>
          <w:fldChar w:fldCharType="begin"/>
        </w:r>
        <w:r>
          <w:rPr>
            <w:webHidden/>
          </w:rPr>
          <w:instrText xml:space="preserve"> PAGEREF _Toc529789823 \h </w:instrText>
        </w:r>
        <w:r>
          <w:rPr>
            <w:webHidden/>
          </w:rPr>
        </w:r>
        <w:r>
          <w:rPr>
            <w:webHidden/>
          </w:rPr>
          <w:fldChar w:fldCharType="separate"/>
        </w:r>
        <w:r>
          <w:rPr>
            <w:webHidden/>
          </w:rPr>
          <w:t>5</w:t>
        </w:r>
        <w:r>
          <w:rPr>
            <w:webHidden/>
          </w:rPr>
          <w:fldChar w:fldCharType="end"/>
        </w:r>
      </w:hyperlink>
    </w:p>
    <w:p w14:paraId="22ECF19B" w14:textId="644813C9" w:rsidR="009A0957" w:rsidRDefault="009A0957">
      <w:pPr>
        <w:pStyle w:val="TOC2"/>
        <w:rPr>
          <w:color w:val="auto"/>
          <w:sz w:val="24"/>
          <w:szCs w:val="24"/>
          <w:lang w:val="sv-SE"/>
        </w:rPr>
      </w:pPr>
      <w:hyperlink w:anchor="_Toc529789824" w:history="1">
        <w:r w:rsidRPr="00301C50">
          <w:rPr>
            <w:rStyle w:val="Hyperlink"/>
          </w:rPr>
          <w:t>Summary findings: research needs</w:t>
        </w:r>
        <w:r>
          <w:rPr>
            <w:webHidden/>
          </w:rPr>
          <w:tab/>
        </w:r>
        <w:r>
          <w:rPr>
            <w:webHidden/>
          </w:rPr>
          <w:fldChar w:fldCharType="begin"/>
        </w:r>
        <w:r>
          <w:rPr>
            <w:webHidden/>
          </w:rPr>
          <w:instrText xml:space="preserve"> PAGEREF _Toc529789824 \h </w:instrText>
        </w:r>
        <w:r>
          <w:rPr>
            <w:webHidden/>
          </w:rPr>
        </w:r>
        <w:r>
          <w:rPr>
            <w:webHidden/>
          </w:rPr>
          <w:fldChar w:fldCharType="separate"/>
        </w:r>
        <w:r>
          <w:rPr>
            <w:webHidden/>
          </w:rPr>
          <w:t>7</w:t>
        </w:r>
        <w:r>
          <w:rPr>
            <w:webHidden/>
          </w:rPr>
          <w:fldChar w:fldCharType="end"/>
        </w:r>
      </w:hyperlink>
    </w:p>
    <w:p w14:paraId="76FD857F" w14:textId="0E9D58FB" w:rsidR="009A0957" w:rsidRDefault="009A0957">
      <w:pPr>
        <w:pStyle w:val="TOC3"/>
        <w:tabs>
          <w:tab w:val="right" w:leader="dot" w:pos="8716"/>
        </w:tabs>
        <w:rPr>
          <w:noProof/>
          <w:color w:val="auto"/>
          <w:sz w:val="24"/>
          <w:szCs w:val="24"/>
          <w:lang w:val="sv-SE"/>
        </w:rPr>
      </w:pPr>
      <w:hyperlink w:anchor="_Toc529789825" w:history="1">
        <w:r w:rsidRPr="00301C50">
          <w:rPr>
            <w:rStyle w:val="Hyperlink"/>
            <w:noProof/>
          </w:rPr>
          <w:t>Theme 1: Public administration and the quality of government</w:t>
        </w:r>
        <w:r>
          <w:rPr>
            <w:noProof/>
            <w:webHidden/>
          </w:rPr>
          <w:tab/>
        </w:r>
        <w:r>
          <w:rPr>
            <w:noProof/>
            <w:webHidden/>
          </w:rPr>
          <w:fldChar w:fldCharType="begin"/>
        </w:r>
        <w:r>
          <w:rPr>
            <w:noProof/>
            <w:webHidden/>
          </w:rPr>
          <w:instrText xml:space="preserve"> PAGEREF _Toc529789825 \h </w:instrText>
        </w:r>
        <w:r>
          <w:rPr>
            <w:noProof/>
            <w:webHidden/>
          </w:rPr>
        </w:r>
        <w:r>
          <w:rPr>
            <w:noProof/>
            <w:webHidden/>
          </w:rPr>
          <w:fldChar w:fldCharType="separate"/>
        </w:r>
        <w:r>
          <w:rPr>
            <w:noProof/>
            <w:webHidden/>
          </w:rPr>
          <w:t>7</w:t>
        </w:r>
        <w:r>
          <w:rPr>
            <w:noProof/>
            <w:webHidden/>
          </w:rPr>
          <w:fldChar w:fldCharType="end"/>
        </w:r>
      </w:hyperlink>
    </w:p>
    <w:p w14:paraId="76F75032" w14:textId="616D42B0" w:rsidR="009A0957" w:rsidRDefault="009A0957">
      <w:pPr>
        <w:pStyle w:val="TOC3"/>
        <w:tabs>
          <w:tab w:val="right" w:leader="dot" w:pos="8716"/>
        </w:tabs>
        <w:rPr>
          <w:noProof/>
          <w:color w:val="auto"/>
          <w:sz w:val="24"/>
          <w:szCs w:val="24"/>
          <w:lang w:val="sv-SE"/>
        </w:rPr>
      </w:pPr>
      <w:hyperlink w:anchor="_Toc529789826" w:history="1">
        <w:r w:rsidRPr="00301C50">
          <w:rPr>
            <w:rStyle w:val="Hyperlink"/>
            <w:noProof/>
          </w:rPr>
          <w:t>Theme 2: Policy coherence</w:t>
        </w:r>
        <w:r>
          <w:rPr>
            <w:noProof/>
            <w:webHidden/>
          </w:rPr>
          <w:tab/>
        </w:r>
        <w:r>
          <w:rPr>
            <w:noProof/>
            <w:webHidden/>
          </w:rPr>
          <w:fldChar w:fldCharType="begin"/>
        </w:r>
        <w:r>
          <w:rPr>
            <w:noProof/>
            <w:webHidden/>
          </w:rPr>
          <w:instrText xml:space="preserve"> PAGEREF _Toc529789826 \h </w:instrText>
        </w:r>
        <w:r>
          <w:rPr>
            <w:noProof/>
            <w:webHidden/>
          </w:rPr>
        </w:r>
        <w:r>
          <w:rPr>
            <w:noProof/>
            <w:webHidden/>
          </w:rPr>
          <w:fldChar w:fldCharType="separate"/>
        </w:r>
        <w:r>
          <w:rPr>
            <w:noProof/>
            <w:webHidden/>
          </w:rPr>
          <w:t>9</w:t>
        </w:r>
        <w:r>
          <w:rPr>
            <w:noProof/>
            <w:webHidden/>
          </w:rPr>
          <w:fldChar w:fldCharType="end"/>
        </w:r>
      </w:hyperlink>
    </w:p>
    <w:p w14:paraId="08CC8022" w14:textId="1C679933" w:rsidR="009A0957" w:rsidRDefault="009A0957">
      <w:pPr>
        <w:pStyle w:val="TOC3"/>
        <w:tabs>
          <w:tab w:val="right" w:leader="dot" w:pos="8716"/>
        </w:tabs>
        <w:rPr>
          <w:noProof/>
          <w:color w:val="auto"/>
          <w:sz w:val="24"/>
          <w:szCs w:val="24"/>
          <w:lang w:val="sv-SE"/>
        </w:rPr>
      </w:pPr>
      <w:hyperlink w:anchor="_Toc529789827" w:history="1">
        <w:r w:rsidRPr="00301C50">
          <w:rPr>
            <w:rStyle w:val="Hyperlink"/>
            <w:noProof/>
          </w:rPr>
          <w:t>Theme 3: Technology access and capacity</w:t>
        </w:r>
        <w:r>
          <w:rPr>
            <w:noProof/>
            <w:webHidden/>
          </w:rPr>
          <w:tab/>
        </w:r>
        <w:r>
          <w:rPr>
            <w:noProof/>
            <w:webHidden/>
          </w:rPr>
          <w:fldChar w:fldCharType="begin"/>
        </w:r>
        <w:r>
          <w:rPr>
            <w:noProof/>
            <w:webHidden/>
          </w:rPr>
          <w:instrText xml:space="preserve"> PAGEREF _Toc529789827 \h </w:instrText>
        </w:r>
        <w:r>
          <w:rPr>
            <w:noProof/>
            <w:webHidden/>
          </w:rPr>
        </w:r>
        <w:r>
          <w:rPr>
            <w:noProof/>
            <w:webHidden/>
          </w:rPr>
          <w:fldChar w:fldCharType="separate"/>
        </w:r>
        <w:r>
          <w:rPr>
            <w:noProof/>
            <w:webHidden/>
          </w:rPr>
          <w:t>10</w:t>
        </w:r>
        <w:r>
          <w:rPr>
            <w:noProof/>
            <w:webHidden/>
          </w:rPr>
          <w:fldChar w:fldCharType="end"/>
        </w:r>
      </w:hyperlink>
    </w:p>
    <w:p w14:paraId="285C5678" w14:textId="31C74BF2" w:rsidR="009A0957" w:rsidRDefault="009A0957">
      <w:pPr>
        <w:pStyle w:val="TOC3"/>
        <w:tabs>
          <w:tab w:val="right" w:leader="dot" w:pos="8716"/>
        </w:tabs>
        <w:rPr>
          <w:noProof/>
          <w:color w:val="auto"/>
          <w:sz w:val="24"/>
          <w:szCs w:val="24"/>
          <w:lang w:val="sv-SE"/>
        </w:rPr>
      </w:pPr>
      <w:hyperlink w:anchor="_Toc529789828" w:history="1">
        <w:r w:rsidRPr="00301C50">
          <w:rPr>
            <w:rStyle w:val="Hyperlink"/>
            <w:noProof/>
          </w:rPr>
          <w:t>Theme 4: multi-stakeholder partnerships</w:t>
        </w:r>
        <w:r>
          <w:rPr>
            <w:noProof/>
            <w:webHidden/>
          </w:rPr>
          <w:tab/>
        </w:r>
        <w:r>
          <w:rPr>
            <w:noProof/>
            <w:webHidden/>
          </w:rPr>
          <w:fldChar w:fldCharType="begin"/>
        </w:r>
        <w:r>
          <w:rPr>
            <w:noProof/>
            <w:webHidden/>
          </w:rPr>
          <w:instrText xml:space="preserve"> PAGEREF _Toc529789828 \h </w:instrText>
        </w:r>
        <w:r>
          <w:rPr>
            <w:noProof/>
            <w:webHidden/>
          </w:rPr>
        </w:r>
        <w:r>
          <w:rPr>
            <w:noProof/>
            <w:webHidden/>
          </w:rPr>
          <w:fldChar w:fldCharType="separate"/>
        </w:r>
        <w:r>
          <w:rPr>
            <w:noProof/>
            <w:webHidden/>
          </w:rPr>
          <w:t>11</w:t>
        </w:r>
        <w:r>
          <w:rPr>
            <w:noProof/>
            <w:webHidden/>
          </w:rPr>
          <w:fldChar w:fldCharType="end"/>
        </w:r>
      </w:hyperlink>
    </w:p>
    <w:p w14:paraId="796E0352" w14:textId="06C2F330" w:rsidR="009A0957" w:rsidRDefault="009A0957">
      <w:pPr>
        <w:pStyle w:val="TOC3"/>
        <w:tabs>
          <w:tab w:val="right" w:leader="dot" w:pos="8716"/>
        </w:tabs>
        <w:rPr>
          <w:noProof/>
          <w:color w:val="auto"/>
          <w:sz w:val="24"/>
          <w:szCs w:val="24"/>
          <w:lang w:val="sv-SE"/>
        </w:rPr>
      </w:pPr>
      <w:hyperlink w:anchor="_Toc529789829" w:history="1">
        <w:r w:rsidRPr="00301C50">
          <w:rPr>
            <w:rStyle w:val="Hyperlink"/>
            <w:noProof/>
          </w:rPr>
          <w:t>Expert recommendations beyond the review’s four key themes</w:t>
        </w:r>
        <w:r>
          <w:rPr>
            <w:noProof/>
            <w:webHidden/>
          </w:rPr>
          <w:tab/>
        </w:r>
        <w:r>
          <w:rPr>
            <w:noProof/>
            <w:webHidden/>
          </w:rPr>
          <w:fldChar w:fldCharType="begin"/>
        </w:r>
        <w:r>
          <w:rPr>
            <w:noProof/>
            <w:webHidden/>
          </w:rPr>
          <w:instrText xml:space="preserve"> PAGEREF _Toc529789829 \h </w:instrText>
        </w:r>
        <w:r>
          <w:rPr>
            <w:noProof/>
            <w:webHidden/>
          </w:rPr>
        </w:r>
        <w:r>
          <w:rPr>
            <w:noProof/>
            <w:webHidden/>
          </w:rPr>
          <w:fldChar w:fldCharType="separate"/>
        </w:r>
        <w:r>
          <w:rPr>
            <w:noProof/>
            <w:webHidden/>
          </w:rPr>
          <w:t>12</w:t>
        </w:r>
        <w:r>
          <w:rPr>
            <w:noProof/>
            <w:webHidden/>
          </w:rPr>
          <w:fldChar w:fldCharType="end"/>
        </w:r>
      </w:hyperlink>
    </w:p>
    <w:p w14:paraId="0C8256CE" w14:textId="4AC56FDE" w:rsidR="009A0957" w:rsidRDefault="009A0957">
      <w:pPr>
        <w:pStyle w:val="TOC1"/>
        <w:tabs>
          <w:tab w:val="left" w:pos="540"/>
          <w:tab w:val="right" w:leader="dot" w:pos="8716"/>
        </w:tabs>
        <w:rPr>
          <w:b w:val="0"/>
          <w:noProof/>
          <w:color w:val="auto"/>
          <w:sz w:val="24"/>
          <w:szCs w:val="24"/>
          <w:lang w:val="sv-SE"/>
        </w:rPr>
      </w:pPr>
      <w:hyperlink w:anchor="_Toc529789830" w:history="1">
        <w:r w:rsidRPr="00301C50">
          <w:rPr>
            <w:rStyle w:val="Hyperlink"/>
            <w:noProof/>
          </w:rPr>
          <w:t>1</w:t>
        </w:r>
        <w:r>
          <w:rPr>
            <w:b w:val="0"/>
            <w:noProof/>
            <w:color w:val="auto"/>
            <w:sz w:val="24"/>
            <w:szCs w:val="24"/>
            <w:lang w:val="sv-SE"/>
          </w:rPr>
          <w:tab/>
        </w:r>
        <w:r w:rsidRPr="00301C50">
          <w:rPr>
            <w:rStyle w:val="Hyperlink"/>
            <w:noProof/>
          </w:rPr>
          <w:t>Introduction</w:t>
        </w:r>
        <w:r>
          <w:rPr>
            <w:noProof/>
            <w:webHidden/>
          </w:rPr>
          <w:tab/>
        </w:r>
        <w:r>
          <w:rPr>
            <w:noProof/>
            <w:webHidden/>
          </w:rPr>
          <w:fldChar w:fldCharType="begin"/>
        </w:r>
        <w:r>
          <w:rPr>
            <w:noProof/>
            <w:webHidden/>
          </w:rPr>
          <w:instrText xml:space="preserve"> PAGEREF _Toc529789830 \h </w:instrText>
        </w:r>
        <w:r>
          <w:rPr>
            <w:noProof/>
            <w:webHidden/>
          </w:rPr>
        </w:r>
        <w:r>
          <w:rPr>
            <w:noProof/>
            <w:webHidden/>
          </w:rPr>
          <w:fldChar w:fldCharType="separate"/>
        </w:r>
        <w:r>
          <w:rPr>
            <w:noProof/>
            <w:webHidden/>
          </w:rPr>
          <w:t>13</w:t>
        </w:r>
        <w:r>
          <w:rPr>
            <w:noProof/>
            <w:webHidden/>
          </w:rPr>
          <w:fldChar w:fldCharType="end"/>
        </w:r>
      </w:hyperlink>
    </w:p>
    <w:p w14:paraId="7F48D39B" w14:textId="5AECEFA3" w:rsidR="009A0957" w:rsidRDefault="009A0957">
      <w:pPr>
        <w:pStyle w:val="TOC2"/>
        <w:tabs>
          <w:tab w:val="left" w:pos="540"/>
        </w:tabs>
        <w:rPr>
          <w:color w:val="auto"/>
          <w:sz w:val="24"/>
          <w:szCs w:val="24"/>
          <w:lang w:val="sv-SE"/>
        </w:rPr>
      </w:pPr>
      <w:hyperlink w:anchor="_Toc529789831" w:history="1">
        <w:r w:rsidRPr="00301C50">
          <w:rPr>
            <w:rStyle w:val="Hyperlink"/>
          </w:rPr>
          <w:t>1.1</w:t>
        </w:r>
        <w:r>
          <w:rPr>
            <w:color w:val="auto"/>
            <w:sz w:val="24"/>
            <w:szCs w:val="24"/>
            <w:lang w:val="sv-SE"/>
          </w:rPr>
          <w:tab/>
        </w:r>
        <w:r w:rsidRPr="00301C50">
          <w:rPr>
            <w:rStyle w:val="Hyperlink"/>
          </w:rPr>
          <w:t>Overview of goals and targets</w:t>
        </w:r>
        <w:r>
          <w:rPr>
            <w:webHidden/>
          </w:rPr>
          <w:tab/>
        </w:r>
        <w:r>
          <w:rPr>
            <w:webHidden/>
          </w:rPr>
          <w:fldChar w:fldCharType="begin"/>
        </w:r>
        <w:r>
          <w:rPr>
            <w:webHidden/>
          </w:rPr>
          <w:instrText xml:space="preserve"> PAGEREF _Toc529789831 \h </w:instrText>
        </w:r>
        <w:r>
          <w:rPr>
            <w:webHidden/>
          </w:rPr>
        </w:r>
        <w:r>
          <w:rPr>
            <w:webHidden/>
          </w:rPr>
          <w:fldChar w:fldCharType="separate"/>
        </w:r>
        <w:r>
          <w:rPr>
            <w:webHidden/>
          </w:rPr>
          <w:t>13</w:t>
        </w:r>
        <w:r>
          <w:rPr>
            <w:webHidden/>
          </w:rPr>
          <w:fldChar w:fldCharType="end"/>
        </w:r>
      </w:hyperlink>
    </w:p>
    <w:p w14:paraId="27EAD90C" w14:textId="2BB8157A" w:rsidR="009A0957" w:rsidRDefault="009A0957">
      <w:pPr>
        <w:pStyle w:val="TOC2"/>
        <w:tabs>
          <w:tab w:val="left" w:pos="540"/>
        </w:tabs>
        <w:rPr>
          <w:color w:val="auto"/>
          <w:sz w:val="24"/>
          <w:szCs w:val="24"/>
          <w:lang w:val="sv-SE"/>
        </w:rPr>
      </w:pPr>
      <w:hyperlink w:anchor="_Toc529789832" w:history="1">
        <w:r w:rsidRPr="00301C50">
          <w:rPr>
            <w:rStyle w:val="Hyperlink"/>
          </w:rPr>
          <w:t>1.2</w:t>
        </w:r>
        <w:r>
          <w:rPr>
            <w:color w:val="auto"/>
            <w:sz w:val="24"/>
            <w:szCs w:val="24"/>
            <w:lang w:val="sv-SE"/>
          </w:rPr>
          <w:tab/>
        </w:r>
        <w:r w:rsidRPr="00301C50">
          <w:rPr>
            <w:rStyle w:val="Hyperlink"/>
          </w:rPr>
          <w:t>Method and approach</w:t>
        </w:r>
        <w:r>
          <w:rPr>
            <w:webHidden/>
          </w:rPr>
          <w:tab/>
        </w:r>
        <w:r>
          <w:rPr>
            <w:webHidden/>
          </w:rPr>
          <w:fldChar w:fldCharType="begin"/>
        </w:r>
        <w:r>
          <w:rPr>
            <w:webHidden/>
          </w:rPr>
          <w:instrText xml:space="preserve"> PAGEREF _Toc529789832 \h </w:instrText>
        </w:r>
        <w:r>
          <w:rPr>
            <w:webHidden/>
          </w:rPr>
        </w:r>
        <w:r>
          <w:rPr>
            <w:webHidden/>
          </w:rPr>
          <w:fldChar w:fldCharType="separate"/>
        </w:r>
        <w:r>
          <w:rPr>
            <w:webHidden/>
          </w:rPr>
          <w:t>15</w:t>
        </w:r>
        <w:r>
          <w:rPr>
            <w:webHidden/>
          </w:rPr>
          <w:fldChar w:fldCharType="end"/>
        </w:r>
      </w:hyperlink>
    </w:p>
    <w:p w14:paraId="77955F06" w14:textId="72E5AFCA" w:rsidR="009A0957" w:rsidRDefault="009A0957">
      <w:pPr>
        <w:pStyle w:val="TOC3"/>
        <w:tabs>
          <w:tab w:val="right" w:leader="dot" w:pos="8716"/>
        </w:tabs>
        <w:rPr>
          <w:noProof/>
          <w:color w:val="auto"/>
          <w:sz w:val="24"/>
          <w:szCs w:val="24"/>
          <w:lang w:val="sv-SE"/>
        </w:rPr>
      </w:pPr>
      <w:hyperlink w:anchor="_Toc529789833" w:history="1">
        <w:r w:rsidRPr="00301C50">
          <w:rPr>
            <w:rStyle w:val="Hyperlink"/>
            <w:noProof/>
          </w:rPr>
          <w:t>Identifying key themes</w:t>
        </w:r>
        <w:r>
          <w:rPr>
            <w:noProof/>
            <w:webHidden/>
          </w:rPr>
          <w:tab/>
        </w:r>
        <w:r>
          <w:rPr>
            <w:noProof/>
            <w:webHidden/>
          </w:rPr>
          <w:fldChar w:fldCharType="begin"/>
        </w:r>
        <w:r>
          <w:rPr>
            <w:noProof/>
            <w:webHidden/>
          </w:rPr>
          <w:instrText xml:space="preserve"> PAGEREF _Toc529789833 \h </w:instrText>
        </w:r>
        <w:r>
          <w:rPr>
            <w:noProof/>
            <w:webHidden/>
          </w:rPr>
        </w:r>
        <w:r>
          <w:rPr>
            <w:noProof/>
            <w:webHidden/>
          </w:rPr>
          <w:fldChar w:fldCharType="separate"/>
        </w:r>
        <w:r>
          <w:rPr>
            <w:noProof/>
            <w:webHidden/>
          </w:rPr>
          <w:t>16</w:t>
        </w:r>
        <w:r>
          <w:rPr>
            <w:noProof/>
            <w:webHidden/>
          </w:rPr>
          <w:fldChar w:fldCharType="end"/>
        </w:r>
      </w:hyperlink>
    </w:p>
    <w:p w14:paraId="386B55D4" w14:textId="37D071D4" w:rsidR="009A0957" w:rsidRDefault="009A0957">
      <w:pPr>
        <w:pStyle w:val="TOC1"/>
        <w:tabs>
          <w:tab w:val="left" w:pos="540"/>
          <w:tab w:val="right" w:leader="dot" w:pos="8716"/>
        </w:tabs>
        <w:rPr>
          <w:b w:val="0"/>
          <w:noProof/>
          <w:color w:val="auto"/>
          <w:sz w:val="24"/>
          <w:szCs w:val="24"/>
          <w:lang w:val="sv-SE"/>
        </w:rPr>
      </w:pPr>
      <w:hyperlink w:anchor="_Toc529789834" w:history="1">
        <w:r w:rsidRPr="00301C50">
          <w:rPr>
            <w:rStyle w:val="Hyperlink"/>
            <w:noProof/>
          </w:rPr>
          <w:t>2</w:t>
        </w:r>
        <w:r>
          <w:rPr>
            <w:b w:val="0"/>
            <w:noProof/>
            <w:color w:val="auto"/>
            <w:sz w:val="24"/>
            <w:szCs w:val="24"/>
            <w:lang w:val="sv-SE"/>
          </w:rPr>
          <w:tab/>
        </w:r>
        <w:r w:rsidRPr="00301C50">
          <w:rPr>
            <w:rStyle w:val="Hyperlink"/>
            <w:noProof/>
          </w:rPr>
          <w:t>General research challenges</w:t>
        </w:r>
        <w:r>
          <w:rPr>
            <w:noProof/>
            <w:webHidden/>
          </w:rPr>
          <w:tab/>
        </w:r>
        <w:r>
          <w:rPr>
            <w:noProof/>
            <w:webHidden/>
          </w:rPr>
          <w:fldChar w:fldCharType="begin"/>
        </w:r>
        <w:r>
          <w:rPr>
            <w:noProof/>
            <w:webHidden/>
          </w:rPr>
          <w:instrText xml:space="preserve"> PAGEREF _Toc529789834 \h </w:instrText>
        </w:r>
        <w:r>
          <w:rPr>
            <w:noProof/>
            <w:webHidden/>
          </w:rPr>
        </w:r>
        <w:r>
          <w:rPr>
            <w:noProof/>
            <w:webHidden/>
          </w:rPr>
          <w:fldChar w:fldCharType="separate"/>
        </w:r>
        <w:r>
          <w:rPr>
            <w:noProof/>
            <w:webHidden/>
          </w:rPr>
          <w:t>18</w:t>
        </w:r>
        <w:r>
          <w:rPr>
            <w:noProof/>
            <w:webHidden/>
          </w:rPr>
          <w:fldChar w:fldCharType="end"/>
        </w:r>
      </w:hyperlink>
    </w:p>
    <w:p w14:paraId="08C8682E" w14:textId="35D40B00" w:rsidR="009A0957" w:rsidRDefault="009A0957">
      <w:pPr>
        <w:pStyle w:val="TOC1"/>
        <w:tabs>
          <w:tab w:val="left" w:pos="540"/>
          <w:tab w:val="right" w:leader="dot" w:pos="8716"/>
        </w:tabs>
        <w:rPr>
          <w:b w:val="0"/>
          <w:noProof/>
          <w:color w:val="auto"/>
          <w:sz w:val="24"/>
          <w:szCs w:val="24"/>
          <w:lang w:val="sv-SE"/>
        </w:rPr>
      </w:pPr>
      <w:hyperlink w:anchor="_Toc529789835" w:history="1">
        <w:r w:rsidRPr="00301C50">
          <w:rPr>
            <w:rStyle w:val="Hyperlink"/>
            <w:noProof/>
          </w:rPr>
          <w:t>3</w:t>
        </w:r>
        <w:r>
          <w:rPr>
            <w:b w:val="0"/>
            <w:noProof/>
            <w:color w:val="auto"/>
            <w:sz w:val="24"/>
            <w:szCs w:val="24"/>
            <w:lang w:val="sv-SE"/>
          </w:rPr>
          <w:tab/>
        </w:r>
        <w:r w:rsidRPr="00301C50">
          <w:rPr>
            <w:rStyle w:val="Hyperlink"/>
            <w:noProof/>
          </w:rPr>
          <w:t>Key theme 1: Public administration and the quality of government</w:t>
        </w:r>
        <w:r>
          <w:rPr>
            <w:noProof/>
            <w:webHidden/>
          </w:rPr>
          <w:tab/>
        </w:r>
        <w:r>
          <w:rPr>
            <w:noProof/>
            <w:webHidden/>
          </w:rPr>
          <w:fldChar w:fldCharType="begin"/>
        </w:r>
        <w:r>
          <w:rPr>
            <w:noProof/>
            <w:webHidden/>
          </w:rPr>
          <w:instrText xml:space="preserve"> PAGEREF _Toc529789835 \h </w:instrText>
        </w:r>
        <w:r>
          <w:rPr>
            <w:noProof/>
            <w:webHidden/>
          </w:rPr>
        </w:r>
        <w:r>
          <w:rPr>
            <w:noProof/>
            <w:webHidden/>
          </w:rPr>
          <w:fldChar w:fldCharType="separate"/>
        </w:r>
        <w:r>
          <w:rPr>
            <w:noProof/>
            <w:webHidden/>
          </w:rPr>
          <w:t>19</w:t>
        </w:r>
        <w:r>
          <w:rPr>
            <w:noProof/>
            <w:webHidden/>
          </w:rPr>
          <w:fldChar w:fldCharType="end"/>
        </w:r>
      </w:hyperlink>
    </w:p>
    <w:p w14:paraId="0B516F1A" w14:textId="0F03FF9D" w:rsidR="009A0957" w:rsidRDefault="009A0957">
      <w:pPr>
        <w:pStyle w:val="TOC2"/>
        <w:tabs>
          <w:tab w:val="left" w:pos="540"/>
        </w:tabs>
        <w:rPr>
          <w:color w:val="auto"/>
          <w:sz w:val="24"/>
          <w:szCs w:val="24"/>
          <w:lang w:val="sv-SE"/>
        </w:rPr>
      </w:pPr>
      <w:hyperlink w:anchor="_Toc529789836" w:history="1">
        <w:r w:rsidRPr="00301C50">
          <w:rPr>
            <w:rStyle w:val="Hyperlink"/>
          </w:rPr>
          <w:t>3.1</w:t>
        </w:r>
        <w:r>
          <w:rPr>
            <w:color w:val="auto"/>
            <w:sz w:val="24"/>
            <w:szCs w:val="24"/>
            <w:lang w:val="sv-SE"/>
          </w:rPr>
          <w:tab/>
        </w:r>
        <w:r w:rsidRPr="00301C50">
          <w:rPr>
            <w:rStyle w:val="Hyperlink"/>
          </w:rPr>
          <w:t>Quality of government</w:t>
        </w:r>
        <w:r>
          <w:rPr>
            <w:webHidden/>
          </w:rPr>
          <w:tab/>
        </w:r>
        <w:r>
          <w:rPr>
            <w:webHidden/>
          </w:rPr>
          <w:fldChar w:fldCharType="begin"/>
        </w:r>
        <w:r>
          <w:rPr>
            <w:webHidden/>
          </w:rPr>
          <w:instrText xml:space="preserve"> PAGEREF _Toc529789836 \h </w:instrText>
        </w:r>
        <w:r>
          <w:rPr>
            <w:webHidden/>
          </w:rPr>
        </w:r>
        <w:r>
          <w:rPr>
            <w:webHidden/>
          </w:rPr>
          <w:fldChar w:fldCharType="separate"/>
        </w:r>
        <w:r>
          <w:rPr>
            <w:webHidden/>
          </w:rPr>
          <w:t>19</w:t>
        </w:r>
        <w:r>
          <w:rPr>
            <w:webHidden/>
          </w:rPr>
          <w:fldChar w:fldCharType="end"/>
        </w:r>
      </w:hyperlink>
    </w:p>
    <w:p w14:paraId="4E1FE95F" w14:textId="0CAFBF3C" w:rsidR="009A0957" w:rsidRDefault="009A0957">
      <w:pPr>
        <w:pStyle w:val="TOC3"/>
        <w:tabs>
          <w:tab w:val="right" w:leader="dot" w:pos="8716"/>
        </w:tabs>
        <w:rPr>
          <w:noProof/>
          <w:color w:val="auto"/>
          <w:sz w:val="24"/>
          <w:szCs w:val="24"/>
          <w:lang w:val="sv-SE"/>
        </w:rPr>
      </w:pPr>
      <w:hyperlink w:anchor="_Toc529789837" w:history="1">
        <w:r w:rsidRPr="00301C50">
          <w:rPr>
            <w:rStyle w:val="Hyperlink"/>
            <w:noProof/>
          </w:rPr>
          <w:t>More developed countries</w:t>
        </w:r>
        <w:r>
          <w:rPr>
            <w:noProof/>
            <w:webHidden/>
          </w:rPr>
          <w:tab/>
        </w:r>
        <w:r>
          <w:rPr>
            <w:noProof/>
            <w:webHidden/>
          </w:rPr>
          <w:fldChar w:fldCharType="begin"/>
        </w:r>
        <w:r>
          <w:rPr>
            <w:noProof/>
            <w:webHidden/>
          </w:rPr>
          <w:instrText xml:space="preserve"> PAGEREF _Toc529789837 \h </w:instrText>
        </w:r>
        <w:r>
          <w:rPr>
            <w:noProof/>
            <w:webHidden/>
          </w:rPr>
        </w:r>
        <w:r>
          <w:rPr>
            <w:noProof/>
            <w:webHidden/>
          </w:rPr>
          <w:fldChar w:fldCharType="separate"/>
        </w:r>
        <w:r>
          <w:rPr>
            <w:noProof/>
            <w:webHidden/>
          </w:rPr>
          <w:t>20</w:t>
        </w:r>
        <w:r>
          <w:rPr>
            <w:noProof/>
            <w:webHidden/>
          </w:rPr>
          <w:fldChar w:fldCharType="end"/>
        </w:r>
      </w:hyperlink>
    </w:p>
    <w:p w14:paraId="3948D2CE" w14:textId="5920DCF8" w:rsidR="009A0957" w:rsidRDefault="009A0957">
      <w:pPr>
        <w:pStyle w:val="TOC2"/>
        <w:tabs>
          <w:tab w:val="left" w:pos="540"/>
        </w:tabs>
        <w:rPr>
          <w:color w:val="auto"/>
          <w:sz w:val="24"/>
          <w:szCs w:val="24"/>
          <w:lang w:val="sv-SE"/>
        </w:rPr>
      </w:pPr>
      <w:hyperlink w:anchor="_Toc529789838" w:history="1">
        <w:r w:rsidRPr="00301C50">
          <w:rPr>
            <w:rStyle w:val="Hyperlink"/>
          </w:rPr>
          <w:t>3.2</w:t>
        </w:r>
        <w:r>
          <w:rPr>
            <w:color w:val="auto"/>
            <w:sz w:val="24"/>
            <w:szCs w:val="24"/>
            <w:lang w:val="sv-SE"/>
          </w:rPr>
          <w:tab/>
        </w:r>
        <w:r w:rsidRPr="00301C50">
          <w:rPr>
            <w:rStyle w:val="Hyperlink"/>
          </w:rPr>
          <w:t>Revenue collection capacity</w:t>
        </w:r>
        <w:r>
          <w:rPr>
            <w:webHidden/>
          </w:rPr>
          <w:tab/>
        </w:r>
        <w:r>
          <w:rPr>
            <w:webHidden/>
          </w:rPr>
          <w:fldChar w:fldCharType="begin"/>
        </w:r>
        <w:r>
          <w:rPr>
            <w:webHidden/>
          </w:rPr>
          <w:instrText xml:space="preserve"> PAGEREF _Toc529789838 \h </w:instrText>
        </w:r>
        <w:r>
          <w:rPr>
            <w:webHidden/>
          </w:rPr>
        </w:r>
        <w:r>
          <w:rPr>
            <w:webHidden/>
          </w:rPr>
          <w:fldChar w:fldCharType="separate"/>
        </w:r>
        <w:r>
          <w:rPr>
            <w:webHidden/>
          </w:rPr>
          <w:t>22</w:t>
        </w:r>
        <w:r>
          <w:rPr>
            <w:webHidden/>
          </w:rPr>
          <w:fldChar w:fldCharType="end"/>
        </w:r>
      </w:hyperlink>
    </w:p>
    <w:p w14:paraId="39CBF4E4" w14:textId="30A04562" w:rsidR="009A0957" w:rsidRDefault="009A0957">
      <w:pPr>
        <w:pStyle w:val="TOC2"/>
        <w:tabs>
          <w:tab w:val="left" w:pos="540"/>
        </w:tabs>
        <w:rPr>
          <w:color w:val="auto"/>
          <w:sz w:val="24"/>
          <w:szCs w:val="24"/>
          <w:lang w:val="sv-SE"/>
        </w:rPr>
      </w:pPr>
      <w:hyperlink w:anchor="_Toc529789839" w:history="1">
        <w:r w:rsidRPr="00301C50">
          <w:rPr>
            <w:rStyle w:val="Hyperlink"/>
          </w:rPr>
          <w:t>3.3</w:t>
        </w:r>
        <w:r>
          <w:rPr>
            <w:color w:val="auto"/>
            <w:sz w:val="24"/>
            <w:szCs w:val="24"/>
            <w:lang w:val="sv-SE"/>
          </w:rPr>
          <w:tab/>
        </w:r>
        <w:r w:rsidRPr="00301C50">
          <w:rPr>
            <w:rStyle w:val="Hyperlink"/>
          </w:rPr>
          <w:t>Expert recommendations (workshop outputs)</w:t>
        </w:r>
        <w:r>
          <w:rPr>
            <w:webHidden/>
          </w:rPr>
          <w:tab/>
        </w:r>
        <w:r>
          <w:rPr>
            <w:webHidden/>
          </w:rPr>
          <w:fldChar w:fldCharType="begin"/>
        </w:r>
        <w:r>
          <w:rPr>
            <w:webHidden/>
          </w:rPr>
          <w:instrText xml:space="preserve"> PAGEREF _Toc529789839 \h </w:instrText>
        </w:r>
        <w:r>
          <w:rPr>
            <w:webHidden/>
          </w:rPr>
        </w:r>
        <w:r>
          <w:rPr>
            <w:webHidden/>
          </w:rPr>
          <w:fldChar w:fldCharType="separate"/>
        </w:r>
        <w:r>
          <w:rPr>
            <w:webHidden/>
          </w:rPr>
          <w:t>24</w:t>
        </w:r>
        <w:r>
          <w:rPr>
            <w:webHidden/>
          </w:rPr>
          <w:fldChar w:fldCharType="end"/>
        </w:r>
      </w:hyperlink>
    </w:p>
    <w:p w14:paraId="607E9050" w14:textId="0515B8B8" w:rsidR="009A0957" w:rsidRDefault="009A0957">
      <w:pPr>
        <w:pStyle w:val="TOC1"/>
        <w:tabs>
          <w:tab w:val="left" w:pos="540"/>
          <w:tab w:val="right" w:leader="dot" w:pos="8716"/>
        </w:tabs>
        <w:rPr>
          <w:b w:val="0"/>
          <w:noProof/>
          <w:color w:val="auto"/>
          <w:sz w:val="24"/>
          <w:szCs w:val="24"/>
          <w:lang w:val="sv-SE"/>
        </w:rPr>
      </w:pPr>
      <w:hyperlink w:anchor="_Toc529789840" w:history="1">
        <w:r w:rsidRPr="00301C50">
          <w:rPr>
            <w:rStyle w:val="Hyperlink"/>
            <w:noProof/>
          </w:rPr>
          <w:t>4</w:t>
        </w:r>
        <w:r>
          <w:rPr>
            <w:b w:val="0"/>
            <w:noProof/>
            <w:color w:val="auto"/>
            <w:sz w:val="24"/>
            <w:szCs w:val="24"/>
            <w:lang w:val="sv-SE"/>
          </w:rPr>
          <w:tab/>
        </w:r>
        <w:r w:rsidRPr="00301C50">
          <w:rPr>
            <w:rStyle w:val="Hyperlink"/>
            <w:noProof/>
          </w:rPr>
          <w:t>Key theme 2: Policy coherence</w:t>
        </w:r>
        <w:r>
          <w:rPr>
            <w:noProof/>
            <w:webHidden/>
          </w:rPr>
          <w:tab/>
        </w:r>
        <w:r>
          <w:rPr>
            <w:noProof/>
            <w:webHidden/>
          </w:rPr>
          <w:fldChar w:fldCharType="begin"/>
        </w:r>
        <w:r>
          <w:rPr>
            <w:noProof/>
            <w:webHidden/>
          </w:rPr>
          <w:instrText xml:space="preserve"> PAGEREF _Toc529789840 \h </w:instrText>
        </w:r>
        <w:r>
          <w:rPr>
            <w:noProof/>
            <w:webHidden/>
          </w:rPr>
        </w:r>
        <w:r>
          <w:rPr>
            <w:noProof/>
            <w:webHidden/>
          </w:rPr>
          <w:fldChar w:fldCharType="separate"/>
        </w:r>
        <w:r>
          <w:rPr>
            <w:noProof/>
            <w:webHidden/>
          </w:rPr>
          <w:t>25</w:t>
        </w:r>
        <w:r>
          <w:rPr>
            <w:noProof/>
            <w:webHidden/>
          </w:rPr>
          <w:fldChar w:fldCharType="end"/>
        </w:r>
      </w:hyperlink>
    </w:p>
    <w:p w14:paraId="727343D2" w14:textId="13839810" w:rsidR="009A0957" w:rsidRDefault="009A0957">
      <w:pPr>
        <w:pStyle w:val="TOC2"/>
        <w:tabs>
          <w:tab w:val="left" w:pos="540"/>
        </w:tabs>
        <w:rPr>
          <w:color w:val="auto"/>
          <w:sz w:val="24"/>
          <w:szCs w:val="24"/>
          <w:lang w:val="sv-SE"/>
        </w:rPr>
      </w:pPr>
      <w:hyperlink w:anchor="_Toc529789841" w:history="1">
        <w:r w:rsidRPr="00301C50">
          <w:rPr>
            <w:rStyle w:val="Hyperlink"/>
          </w:rPr>
          <w:t>4.1</w:t>
        </w:r>
        <w:r>
          <w:rPr>
            <w:color w:val="auto"/>
            <w:sz w:val="24"/>
            <w:szCs w:val="24"/>
            <w:lang w:val="sv-SE"/>
          </w:rPr>
          <w:tab/>
        </w:r>
        <w:r w:rsidRPr="00301C50">
          <w:rPr>
            <w:rStyle w:val="Hyperlink"/>
          </w:rPr>
          <w:t>Expert recommendations (workshop outputs)</w:t>
        </w:r>
        <w:r>
          <w:rPr>
            <w:webHidden/>
          </w:rPr>
          <w:tab/>
        </w:r>
        <w:r>
          <w:rPr>
            <w:webHidden/>
          </w:rPr>
          <w:fldChar w:fldCharType="begin"/>
        </w:r>
        <w:r>
          <w:rPr>
            <w:webHidden/>
          </w:rPr>
          <w:instrText xml:space="preserve"> PAGEREF _Toc529789841 \h </w:instrText>
        </w:r>
        <w:r>
          <w:rPr>
            <w:webHidden/>
          </w:rPr>
        </w:r>
        <w:r>
          <w:rPr>
            <w:webHidden/>
          </w:rPr>
          <w:fldChar w:fldCharType="separate"/>
        </w:r>
        <w:r>
          <w:rPr>
            <w:webHidden/>
          </w:rPr>
          <w:t>28</w:t>
        </w:r>
        <w:r>
          <w:rPr>
            <w:webHidden/>
          </w:rPr>
          <w:fldChar w:fldCharType="end"/>
        </w:r>
      </w:hyperlink>
    </w:p>
    <w:p w14:paraId="4AFDCBAB" w14:textId="30E09FF8" w:rsidR="009A0957" w:rsidRDefault="009A0957">
      <w:pPr>
        <w:pStyle w:val="TOC1"/>
        <w:tabs>
          <w:tab w:val="left" w:pos="540"/>
          <w:tab w:val="right" w:leader="dot" w:pos="8716"/>
        </w:tabs>
        <w:rPr>
          <w:b w:val="0"/>
          <w:noProof/>
          <w:color w:val="auto"/>
          <w:sz w:val="24"/>
          <w:szCs w:val="24"/>
          <w:lang w:val="sv-SE"/>
        </w:rPr>
      </w:pPr>
      <w:hyperlink w:anchor="_Toc529789842" w:history="1">
        <w:r w:rsidRPr="00301C50">
          <w:rPr>
            <w:rStyle w:val="Hyperlink"/>
            <w:noProof/>
          </w:rPr>
          <w:t>5</w:t>
        </w:r>
        <w:r>
          <w:rPr>
            <w:b w:val="0"/>
            <w:noProof/>
            <w:color w:val="auto"/>
            <w:sz w:val="24"/>
            <w:szCs w:val="24"/>
            <w:lang w:val="sv-SE"/>
          </w:rPr>
          <w:tab/>
        </w:r>
        <w:r w:rsidRPr="00301C50">
          <w:rPr>
            <w:rStyle w:val="Hyperlink"/>
            <w:noProof/>
          </w:rPr>
          <w:t>Key theme 3: Technology access and capacity</w:t>
        </w:r>
        <w:r>
          <w:rPr>
            <w:noProof/>
            <w:webHidden/>
          </w:rPr>
          <w:tab/>
        </w:r>
        <w:r>
          <w:rPr>
            <w:noProof/>
            <w:webHidden/>
          </w:rPr>
          <w:fldChar w:fldCharType="begin"/>
        </w:r>
        <w:r>
          <w:rPr>
            <w:noProof/>
            <w:webHidden/>
          </w:rPr>
          <w:instrText xml:space="preserve"> PAGEREF _Toc529789842 \h </w:instrText>
        </w:r>
        <w:r>
          <w:rPr>
            <w:noProof/>
            <w:webHidden/>
          </w:rPr>
        </w:r>
        <w:r>
          <w:rPr>
            <w:noProof/>
            <w:webHidden/>
          </w:rPr>
          <w:fldChar w:fldCharType="separate"/>
        </w:r>
        <w:r>
          <w:rPr>
            <w:noProof/>
            <w:webHidden/>
          </w:rPr>
          <w:t>28</w:t>
        </w:r>
        <w:r>
          <w:rPr>
            <w:noProof/>
            <w:webHidden/>
          </w:rPr>
          <w:fldChar w:fldCharType="end"/>
        </w:r>
      </w:hyperlink>
    </w:p>
    <w:p w14:paraId="057B4D0B" w14:textId="5FB9960E" w:rsidR="009A0957" w:rsidRDefault="009A0957">
      <w:pPr>
        <w:pStyle w:val="TOC2"/>
        <w:tabs>
          <w:tab w:val="left" w:pos="540"/>
        </w:tabs>
        <w:rPr>
          <w:color w:val="auto"/>
          <w:sz w:val="24"/>
          <w:szCs w:val="24"/>
          <w:lang w:val="sv-SE"/>
        </w:rPr>
      </w:pPr>
      <w:hyperlink w:anchor="_Toc529789843" w:history="1">
        <w:r w:rsidRPr="00301C50">
          <w:rPr>
            <w:rStyle w:val="Hyperlink"/>
          </w:rPr>
          <w:t>5.1</w:t>
        </w:r>
        <w:r>
          <w:rPr>
            <w:color w:val="auto"/>
            <w:sz w:val="24"/>
            <w:szCs w:val="24"/>
            <w:lang w:val="sv-SE"/>
          </w:rPr>
          <w:tab/>
        </w:r>
        <w:r w:rsidRPr="00301C50">
          <w:rPr>
            <w:rStyle w:val="Hyperlink"/>
          </w:rPr>
          <w:t>Expert recommendations (workshop outputs)</w:t>
        </w:r>
        <w:r>
          <w:rPr>
            <w:webHidden/>
          </w:rPr>
          <w:tab/>
        </w:r>
        <w:r>
          <w:rPr>
            <w:webHidden/>
          </w:rPr>
          <w:fldChar w:fldCharType="begin"/>
        </w:r>
        <w:r>
          <w:rPr>
            <w:webHidden/>
          </w:rPr>
          <w:instrText xml:space="preserve"> PAGEREF _Toc529789843 \h </w:instrText>
        </w:r>
        <w:r>
          <w:rPr>
            <w:webHidden/>
          </w:rPr>
        </w:r>
        <w:r>
          <w:rPr>
            <w:webHidden/>
          </w:rPr>
          <w:fldChar w:fldCharType="separate"/>
        </w:r>
        <w:r>
          <w:rPr>
            <w:webHidden/>
          </w:rPr>
          <w:t>32</w:t>
        </w:r>
        <w:r>
          <w:rPr>
            <w:webHidden/>
          </w:rPr>
          <w:fldChar w:fldCharType="end"/>
        </w:r>
      </w:hyperlink>
    </w:p>
    <w:p w14:paraId="66476461" w14:textId="19451C73" w:rsidR="009A0957" w:rsidRDefault="009A0957">
      <w:pPr>
        <w:pStyle w:val="TOC1"/>
        <w:tabs>
          <w:tab w:val="left" w:pos="540"/>
          <w:tab w:val="right" w:leader="dot" w:pos="8716"/>
        </w:tabs>
        <w:rPr>
          <w:b w:val="0"/>
          <w:noProof/>
          <w:color w:val="auto"/>
          <w:sz w:val="24"/>
          <w:szCs w:val="24"/>
          <w:lang w:val="sv-SE"/>
        </w:rPr>
      </w:pPr>
      <w:hyperlink w:anchor="_Toc529789844" w:history="1">
        <w:r w:rsidRPr="00301C50">
          <w:rPr>
            <w:rStyle w:val="Hyperlink"/>
            <w:noProof/>
          </w:rPr>
          <w:t>6</w:t>
        </w:r>
        <w:r>
          <w:rPr>
            <w:b w:val="0"/>
            <w:noProof/>
            <w:color w:val="auto"/>
            <w:sz w:val="24"/>
            <w:szCs w:val="24"/>
            <w:lang w:val="sv-SE"/>
          </w:rPr>
          <w:tab/>
        </w:r>
        <w:r w:rsidRPr="00301C50">
          <w:rPr>
            <w:rStyle w:val="Hyperlink"/>
            <w:noProof/>
          </w:rPr>
          <w:t>Key theme 4: Multi-stakeholder partnerships</w:t>
        </w:r>
        <w:r>
          <w:rPr>
            <w:noProof/>
            <w:webHidden/>
          </w:rPr>
          <w:tab/>
        </w:r>
        <w:r>
          <w:rPr>
            <w:noProof/>
            <w:webHidden/>
          </w:rPr>
          <w:fldChar w:fldCharType="begin"/>
        </w:r>
        <w:r>
          <w:rPr>
            <w:noProof/>
            <w:webHidden/>
          </w:rPr>
          <w:instrText xml:space="preserve"> PAGEREF _Toc529789844 \h </w:instrText>
        </w:r>
        <w:r>
          <w:rPr>
            <w:noProof/>
            <w:webHidden/>
          </w:rPr>
        </w:r>
        <w:r>
          <w:rPr>
            <w:noProof/>
            <w:webHidden/>
          </w:rPr>
          <w:fldChar w:fldCharType="separate"/>
        </w:r>
        <w:r>
          <w:rPr>
            <w:noProof/>
            <w:webHidden/>
          </w:rPr>
          <w:t>32</w:t>
        </w:r>
        <w:r>
          <w:rPr>
            <w:noProof/>
            <w:webHidden/>
          </w:rPr>
          <w:fldChar w:fldCharType="end"/>
        </w:r>
      </w:hyperlink>
    </w:p>
    <w:p w14:paraId="5BE2BEB8" w14:textId="1DA3812B" w:rsidR="009A0957" w:rsidRDefault="009A0957">
      <w:pPr>
        <w:pStyle w:val="TOC2"/>
        <w:tabs>
          <w:tab w:val="left" w:pos="540"/>
        </w:tabs>
        <w:rPr>
          <w:color w:val="auto"/>
          <w:sz w:val="24"/>
          <w:szCs w:val="24"/>
          <w:lang w:val="sv-SE"/>
        </w:rPr>
      </w:pPr>
      <w:hyperlink w:anchor="_Toc529789845" w:history="1">
        <w:r w:rsidRPr="00301C50">
          <w:rPr>
            <w:rStyle w:val="Hyperlink"/>
          </w:rPr>
          <w:t>6.1</w:t>
        </w:r>
        <w:r>
          <w:rPr>
            <w:color w:val="auto"/>
            <w:sz w:val="24"/>
            <w:szCs w:val="24"/>
            <w:lang w:val="sv-SE"/>
          </w:rPr>
          <w:tab/>
        </w:r>
        <w:r w:rsidRPr="00301C50">
          <w:rPr>
            <w:rStyle w:val="Hyperlink"/>
          </w:rPr>
          <w:t>Lack of a knowledge base for evaluating effectiveness</w:t>
        </w:r>
        <w:r>
          <w:rPr>
            <w:webHidden/>
          </w:rPr>
          <w:tab/>
        </w:r>
        <w:r>
          <w:rPr>
            <w:webHidden/>
          </w:rPr>
          <w:fldChar w:fldCharType="begin"/>
        </w:r>
        <w:r>
          <w:rPr>
            <w:webHidden/>
          </w:rPr>
          <w:instrText xml:space="preserve"> PAGEREF _Toc529789845 \h </w:instrText>
        </w:r>
        <w:r>
          <w:rPr>
            <w:webHidden/>
          </w:rPr>
        </w:r>
        <w:r>
          <w:rPr>
            <w:webHidden/>
          </w:rPr>
          <w:fldChar w:fldCharType="separate"/>
        </w:r>
        <w:r>
          <w:rPr>
            <w:webHidden/>
          </w:rPr>
          <w:t>33</w:t>
        </w:r>
        <w:r>
          <w:rPr>
            <w:webHidden/>
          </w:rPr>
          <w:fldChar w:fldCharType="end"/>
        </w:r>
      </w:hyperlink>
    </w:p>
    <w:p w14:paraId="24BB7EC0" w14:textId="1A0E8EFE" w:rsidR="009A0957" w:rsidRDefault="009A0957">
      <w:pPr>
        <w:pStyle w:val="TOC2"/>
        <w:tabs>
          <w:tab w:val="left" w:pos="540"/>
        </w:tabs>
        <w:rPr>
          <w:color w:val="auto"/>
          <w:sz w:val="24"/>
          <w:szCs w:val="24"/>
          <w:lang w:val="sv-SE"/>
        </w:rPr>
      </w:pPr>
      <w:hyperlink w:anchor="_Toc529789846" w:history="1">
        <w:r w:rsidRPr="00301C50">
          <w:rPr>
            <w:rStyle w:val="Hyperlink"/>
          </w:rPr>
          <w:t>6.2</w:t>
        </w:r>
        <w:r>
          <w:rPr>
            <w:color w:val="auto"/>
            <w:sz w:val="24"/>
            <w:szCs w:val="24"/>
            <w:lang w:val="sv-SE"/>
          </w:rPr>
          <w:tab/>
        </w:r>
        <w:r w:rsidRPr="00301C50">
          <w:rPr>
            <w:rStyle w:val="Hyperlink"/>
          </w:rPr>
          <w:t>What should the metrics for MSP success be?</w:t>
        </w:r>
        <w:r>
          <w:rPr>
            <w:webHidden/>
          </w:rPr>
          <w:tab/>
        </w:r>
        <w:r>
          <w:rPr>
            <w:webHidden/>
          </w:rPr>
          <w:fldChar w:fldCharType="begin"/>
        </w:r>
        <w:r>
          <w:rPr>
            <w:webHidden/>
          </w:rPr>
          <w:instrText xml:space="preserve"> PAGEREF _Toc529789846 \h </w:instrText>
        </w:r>
        <w:r>
          <w:rPr>
            <w:webHidden/>
          </w:rPr>
        </w:r>
        <w:r>
          <w:rPr>
            <w:webHidden/>
          </w:rPr>
          <w:fldChar w:fldCharType="separate"/>
        </w:r>
        <w:r>
          <w:rPr>
            <w:webHidden/>
          </w:rPr>
          <w:t>33</w:t>
        </w:r>
        <w:r>
          <w:rPr>
            <w:webHidden/>
          </w:rPr>
          <w:fldChar w:fldCharType="end"/>
        </w:r>
      </w:hyperlink>
    </w:p>
    <w:p w14:paraId="47FA406D" w14:textId="149E1543" w:rsidR="009A0957" w:rsidRDefault="009A0957">
      <w:pPr>
        <w:pStyle w:val="TOC2"/>
        <w:tabs>
          <w:tab w:val="left" w:pos="540"/>
        </w:tabs>
        <w:rPr>
          <w:color w:val="auto"/>
          <w:sz w:val="24"/>
          <w:szCs w:val="24"/>
          <w:lang w:val="sv-SE"/>
        </w:rPr>
      </w:pPr>
      <w:hyperlink w:anchor="_Toc529789847" w:history="1">
        <w:r w:rsidRPr="00301C50">
          <w:rPr>
            <w:rStyle w:val="Hyperlink"/>
          </w:rPr>
          <w:t>6.3</w:t>
        </w:r>
        <w:r>
          <w:rPr>
            <w:color w:val="auto"/>
            <w:sz w:val="24"/>
            <w:szCs w:val="24"/>
            <w:lang w:val="sv-SE"/>
          </w:rPr>
          <w:tab/>
        </w:r>
        <w:r w:rsidRPr="00301C50">
          <w:rPr>
            <w:rStyle w:val="Hyperlink"/>
          </w:rPr>
          <w:t>Design principles for MSPs?</w:t>
        </w:r>
        <w:r>
          <w:rPr>
            <w:webHidden/>
          </w:rPr>
          <w:tab/>
        </w:r>
        <w:r>
          <w:rPr>
            <w:webHidden/>
          </w:rPr>
          <w:fldChar w:fldCharType="begin"/>
        </w:r>
        <w:r>
          <w:rPr>
            <w:webHidden/>
          </w:rPr>
          <w:instrText xml:space="preserve"> PAGEREF _Toc529789847 \h </w:instrText>
        </w:r>
        <w:r>
          <w:rPr>
            <w:webHidden/>
          </w:rPr>
        </w:r>
        <w:r>
          <w:rPr>
            <w:webHidden/>
          </w:rPr>
          <w:fldChar w:fldCharType="separate"/>
        </w:r>
        <w:r>
          <w:rPr>
            <w:webHidden/>
          </w:rPr>
          <w:t>35</w:t>
        </w:r>
        <w:r>
          <w:rPr>
            <w:webHidden/>
          </w:rPr>
          <w:fldChar w:fldCharType="end"/>
        </w:r>
      </w:hyperlink>
    </w:p>
    <w:p w14:paraId="668663AC" w14:textId="1B7E9EB5" w:rsidR="009A0957" w:rsidRDefault="009A0957">
      <w:pPr>
        <w:pStyle w:val="TOC2"/>
        <w:tabs>
          <w:tab w:val="left" w:pos="540"/>
        </w:tabs>
        <w:rPr>
          <w:color w:val="auto"/>
          <w:sz w:val="24"/>
          <w:szCs w:val="24"/>
          <w:lang w:val="sv-SE"/>
        </w:rPr>
      </w:pPr>
      <w:hyperlink w:anchor="_Toc529789848" w:history="1">
        <w:r w:rsidRPr="00301C50">
          <w:rPr>
            <w:rStyle w:val="Hyperlink"/>
          </w:rPr>
          <w:t>6.4</w:t>
        </w:r>
        <w:r>
          <w:rPr>
            <w:color w:val="auto"/>
            <w:sz w:val="24"/>
            <w:szCs w:val="24"/>
            <w:lang w:val="sv-SE"/>
          </w:rPr>
          <w:tab/>
        </w:r>
        <w:r w:rsidRPr="00301C50">
          <w:rPr>
            <w:rStyle w:val="Hyperlink"/>
          </w:rPr>
          <w:t>Expert recommendations (workshop outputs)</w:t>
        </w:r>
        <w:r>
          <w:rPr>
            <w:webHidden/>
          </w:rPr>
          <w:tab/>
        </w:r>
        <w:r>
          <w:rPr>
            <w:webHidden/>
          </w:rPr>
          <w:fldChar w:fldCharType="begin"/>
        </w:r>
        <w:r>
          <w:rPr>
            <w:webHidden/>
          </w:rPr>
          <w:instrText xml:space="preserve"> PAGEREF _Toc529789848 \h </w:instrText>
        </w:r>
        <w:r>
          <w:rPr>
            <w:webHidden/>
          </w:rPr>
        </w:r>
        <w:r>
          <w:rPr>
            <w:webHidden/>
          </w:rPr>
          <w:fldChar w:fldCharType="separate"/>
        </w:r>
        <w:r>
          <w:rPr>
            <w:webHidden/>
          </w:rPr>
          <w:t>35</w:t>
        </w:r>
        <w:r>
          <w:rPr>
            <w:webHidden/>
          </w:rPr>
          <w:fldChar w:fldCharType="end"/>
        </w:r>
      </w:hyperlink>
    </w:p>
    <w:p w14:paraId="4CAAA1AA" w14:textId="34472739" w:rsidR="009A0957" w:rsidRDefault="009A0957">
      <w:pPr>
        <w:pStyle w:val="TOC1"/>
        <w:tabs>
          <w:tab w:val="left" w:pos="540"/>
          <w:tab w:val="right" w:leader="dot" w:pos="8716"/>
        </w:tabs>
        <w:rPr>
          <w:b w:val="0"/>
          <w:noProof/>
          <w:color w:val="auto"/>
          <w:sz w:val="24"/>
          <w:szCs w:val="24"/>
          <w:lang w:val="sv-SE"/>
        </w:rPr>
      </w:pPr>
      <w:hyperlink w:anchor="_Toc529789849" w:history="1">
        <w:r w:rsidRPr="00301C50">
          <w:rPr>
            <w:rStyle w:val="Hyperlink"/>
            <w:noProof/>
          </w:rPr>
          <w:t>7</w:t>
        </w:r>
        <w:r>
          <w:rPr>
            <w:b w:val="0"/>
            <w:noProof/>
            <w:color w:val="auto"/>
            <w:sz w:val="24"/>
            <w:szCs w:val="24"/>
            <w:lang w:val="sv-SE"/>
          </w:rPr>
          <w:tab/>
        </w:r>
        <w:r w:rsidRPr="00301C50">
          <w:rPr>
            <w:rStyle w:val="Hyperlink"/>
            <w:noProof/>
          </w:rPr>
          <w:t>Expert recommendations beyond the review’s four key themes</w:t>
        </w:r>
        <w:r>
          <w:rPr>
            <w:noProof/>
            <w:webHidden/>
          </w:rPr>
          <w:tab/>
        </w:r>
        <w:r>
          <w:rPr>
            <w:noProof/>
            <w:webHidden/>
          </w:rPr>
          <w:fldChar w:fldCharType="begin"/>
        </w:r>
        <w:r>
          <w:rPr>
            <w:noProof/>
            <w:webHidden/>
          </w:rPr>
          <w:instrText xml:space="preserve"> PAGEREF _Toc529789849 \h </w:instrText>
        </w:r>
        <w:r>
          <w:rPr>
            <w:noProof/>
            <w:webHidden/>
          </w:rPr>
        </w:r>
        <w:r>
          <w:rPr>
            <w:noProof/>
            <w:webHidden/>
          </w:rPr>
          <w:fldChar w:fldCharType="separate"/>
        </w:r>
        <w:r>
          <w:rPr>
            <w:noProof/>
            <w:webHidden/>
          </w:rPr>
          <w:t>36</w:t>
        </w:r>
        <w:r>
          <w:rPr>
            <w:noProof/>
            <w:webHidden/>
          </w:rPr>
          <w:fldChar w:fldCharType="end"/>
        </w:r>
      </w:hyperlink>
    </w:p>
    <w:p w14:paraId="4908CAFA" w14:textId="6FDECF04" w:rsidR="009A0957" w:rsidRDefault="009A0957">
      <w:pPr>
        <w:pStyle w:val="TOC1"/>
        <w:tabs>
          <w:tab w:val="left" w:pos="540"/>
          <w:tab w:val="right" w:leader="dot" w:pos="8716"/>
        </w:tabs>
        <w:rPr>
          <w:b w:val="0"/>
          <w:noProof/>
          <w:color w:val="auto"/>
          <w:sz w:val="24"/>
          <w:szCs w:val="24"/>
          <w:lang w:val="sv-SE"/>
        </w:rPr>
      </w:pPr>
      <w:hyperlink w:anchor="_Toc529789850" w:history="1">
        <w:r w:rsidRPr="00301C50">
          <w:rPr>
            <w:rStyle w:val="Hyperlink"/>
            <w:noProof/>
          </w:rPr>
          <w:t>8</w:t>
        </w:r>
        <w:r>
          <w:rPr>
            <w:b w:val="0"/>
            <w:noProof/>
            <w:color w:val="auto"/>
            <w:sz w:val="24"/>
            <w:szCs w:val="24"/>
            <w:lang w:val="sv-SE"/>
          </w:rPr>
          <w:tab/>
        </w:r>
        <w:r w:rsidRPr="00301C50">
          <w:rPr>
            <w:rStyle w:val="Hyperlink"/>
            <w:noProof/>
          </w:rPr>
          <w:t>Conclusions</w:t>
        </w:r>
        <w:r>
          <w:rPr>
            <w:noProof/>
            <w:webHidden/>
          </w:rPr>
          <w:tab/>
        </w:r>
        <w:r>
          <w:rPr>
            <w:noProof/>
            <w:webHidden/>
          </w:rPr>
          <w:fldChar w:fldCharType="begin"/>
        </w:r>
        <w:r>
          <w:rPr>
            <w:noProof/>
            <w:webHidden/>
          </w:rPr>
          <w:instrText xml:space="preserve"> PAGEREF _Toc529789850 \h </w:instrText>
        </w:r>
        <w:r>
          <w:rPr>
            <w:noProof/>
            <w:webHidden/>
          </w:rPr>
        </w:r>
        <w:r>
          <w:rPr>
            <w:noProof/>
            <w:webHidden/>
          </w:rPr>
          <w:fldChar w:fldCharType="separate"/>
        </w:r>
        <w:r>
          <w:rPr>
            <w:noProof/>
            <w:webHidden/>
          </w:rPr>
          <w:t>37</w:t>
        </w:r>
        <w:r>
          <w:rPr>
            <w:noProof/>
            <w:webHidden/>
          </w:rPr>
          <w:fldChar w:fldCharType="end"/>
        </w:r>
      </w:hyperlink>
    </w:p>
    <w:p w14:paraId="715FB8F3" w14:textId="05BAC179" w:rsidR="009A0957" w:rsidRDefault="009A0957">
      <w:pPr>
        <w:pStyle w:val="TOC1"/>
        <w:tabs>
          <w:tab w:val="right" w:leader="dot" w:pos="8716"/>
        </w:tabs>
        <w:rPr>
          <w:b w:val="0"/>
          <w:noProof/>
          <w:color w:val="auto"/>
          <w:sz w:val="24"/>
          <w:szCs w:val="24"/>
          <w:lang w:val="sv-SE"/>
        </w:rPr>
      </w:pPr>
      <w:hyperlink w:anchor="_Toc529789851" w:history="1">
        <w:r w:rsidRPr="00301C50">
          <w:rPr>
            <w:rStyle w:val="Hyperlink"/>
            <w:noProof/>
          </w:rPr>
          <w:t>References</w:t>
        </w:r>
        <w:r>
          <w:rPr>
            <w:noProof/>
            <w:webHidden/>
          </w:rPr>
          <w:tab/>
        </w:r>
        <w:r>
          <w:rPr>
            <w:noProof/>
            <w:webHidden/>
          </w:rPr>
          <w:fldChar w:fldCharType="begin"/>
        </w:r>
        <w:r>
          <w:rPr>
            <w:noProof/>
            <w:webHidden/>
          </w:rPr>
          <w:instrText xml:space="preserve"> PAGEREF _Toc529789851 \h </w:instrText>
        </w:r>
        <w:r>
          <w:rPr>
            <w:noProof/>
            <w:webHidden/>
          </w:rPr>
        </w:r>
        <w:r>
          <w:rPr>
            <w:noProof/>
            <w:webHidden/>
          </w:rPr>
          <w:fldChar w:fldCharType="separate"/>
        </w:r>
        <w:r>
          <w:rPr>
            <w:noProof/>
            <w:webHidden/>
          </w:rPr>
          <w:t>37</w:t>
        </w:r>
        <w:r>
          <w:rPr>
            <w:noProof/>
            <w:webHidden/>
          </w:rPr>
          <w:fldChar w:fldCharType="end"/>
        </w:r>
      </w:hyperlink>
    </w:p>
    <w:p w14:paraId="53B838A9" w14:textId="212F4458" w:rsidR="00B9410E" w:rsidRPr="00096A22" w:rsidRDefault="00B9410E" w:rsidP="00B9410E">
      <w:r w:rsidRPr="00096A22">
        <w:fldChar w:fldCharType="end"/>
      </w:r>
    </w:p>
    <w:p w14:paraId="5D6294BE" w14:textId="77777777" w:rsidR="00F76C8D" w:rsidRPr="00096A22" w:rsidRDefault="00F76C8D">
      <w:pPr>
        <w:spacing w:after="0" w:line="240" w:lineRule="auto"/>
        <w:ind w:right="0"/>
        <w:rPr>
          <w:rFonts w:asciiTheme="majorHAnsi" w:eastAsiaTheme="majorEastAsia" w:hAnsiTheme="majorHAnsi" w:cstheme="majorBidi"/>
          <w:b/>
          <w:bCs/>
          <w:color w:val="263238"/>
          <w:sz w:val="40"/>
          <w:szCs w:val="32"/>
        </w:rPr>
      </w:pPr>
      <w:r w:rsidRPr="00096A22">
        <w:br w:type="page"/>
      </w:r>
    </w:p>
    <w:p w14:paraId="29F1312A" w14:textId="77777777" w:rsidR="00667874" w:rsidRPr="00096A22" w:rsidRDefault="00667874" w:rsidP="00B9410E">
      <w:pPr>
        <w:pStyle w:val="Heading1"/>
        <w:numPr>
          <w:ilvl w:val="0"/>
          <w:numId w:val="0"/>
        </w:numPr>
        <w:ind w:left="432" w:hanging="432"/>
      </w:pPr>
      <w:bookmarkStart w:id="2" w:name="_Toc529789822"/>
      <w:r w:rsidRPr="00096A22">
        <w:lastRenderedPageBreak/>
        <w:t>Summary</w:t>
      </w:r>
      <w:bookmarkEnd w:id="2"/>
    </w:p>
    <w:p w14:paraId="24F7E091" w14:textId="1DC82CC6" w:rsidR="00667874" w:rsidRPr="00096A22" w:rsidRDefault="00667874" w:rsidP="00667874">
      <w:bookmarkStart w:id="3" w:name="_Toc372984570"/>
      <w:bookmarkStart w:id="4" w:name="_Toc372984888"/>
      <w:bookmarkStart w:id="5" w:name="_Toc506280689"/>
      <w:r w:rsidRPr="00096A22">
        <w:t>Sustainable Development Goal (SDG) 17 calls for strengthening the means of implementing the Agenda 2030. In particular</w:t>
      </w:r>
      <w:r w:rsidR="00096A22">
        <w:t>,</w:t>
      </w:r>
      <w:r w:rsidRPr="00096A22">
        <w:t xml:space="preserve"> it calls for investing in the global partnership for realising sustainable development all over the world. Achieving the ambitions of Agenda 2030 will require mobilising political will and deepening partnerships between government, the private sector and civil society. It will also require increasing international cooperation and improving coherence between policies and initiatives both domestically and internationally. SDG 17 addresses these needs and calls for actions to increase capacity for implementing the SDGs at all levels. As such, meeting the targets and ambitions of SDG 17 is absolutely essential for successfully advancing the entire SDG agenda.</w:t>
      </w:r>
    </w:p>
    <w:p w14:paraId="546ED904" w14:textId="4A99D533" w:rsidR="00667874" w:rsidRPr="00096A22" w:rsidRDefault="00667874" w:rsidP="00667874">
      <w:r w:rsidRPr="00096A22">
        <w:t>This literature review and assessment of research needs focuses on a selection of the 19 targets under SDG 17 and related targets from SDG 16 and SDG 9. This study has concentrated on those targets that point clearly to research areas and research questions that could contribute in important ways to the achievement of the SDGs. The review identifies areas of research interest within both developing and developed country contexts and research areas that could contribute to improving international partnerships for the achievement of SDGs.</w:t>
      </w:r>
    </w:p>
    <w:p w14:paraId="3B884D17" w14:textId="1F5E972F" w:rsidR="00667874" w:rsidRPr="00096A22" w:rsidRDefault="00667874" w:rsidP="00667874">
      <w:r w:rsidRPr="00096A22">
        <w:t>Given the wide range of issues touched upon by the 19 targets of SDG 17</w:t>
      </w:r>
      <w:r w:rsidR="005830E1" w:rsidRPr="00096A22">
        <w:t>,</w:t>
      </w:r>
      <w:r w:rsidRPr="00096A22">
        <w:t xml:space="preserve"> several important areas </w:t>
      </w:r>
      <w:r w:rsidR="00144788">
        <w:t>of</w:t>
      </w:r>
      <w:r w:rsidR="00144788" w:rsidRPr="00096A22">
        <w:t xml:space="preserve"> </w:t>
      </w:r>
      <w:r w:rsidRPr="00096A22">
        <w:t xml:space="preserve">research could not be included within the scope of this review. This study has been limited to four themes. The first theme is on improvements in </w:t>
      </w:r>
      <w:r w:rsidRPr="00096A22">
        <w:rPr>
          <w:i/>
        </w:rPr>
        <w:t>public administration and the quality of government</w:t>
      </w:r>
      <w:r w:rsidRPr="00096A22">
        <w:t xml:space="preserve">, including improvements in government revenue collection (17.1, 17.9, 16.3, 16.5 </w:t>
      </w:r>
      <w:r w:rsidR="00144788">
        <w:t>and</w:t>
      </w:r>
      <w:r w:rsidRPr="00096A22">
        <w:t xml:space="preserve"> 16.6).</w:t>
      </w:r>
      <w:r w:rsidR="004A7123">
        <w:t xml:space="preserve"> </w:t>
      </w:r>
      <w:r w:rsidRPr="00096A22">
        <w:t xml:space="preserve">The second theme is on </w:t>
      </w:r>
      <w:r w:rsidRPr="00096A22">
        <w:rPr>
          <w:i/>
        </w:rPr>
        <w:t>policy coherence</w:t>
      </w:r>
      <w:r w:rsidRPr="00096A22">
        <w:t xml:space="preserve"> in the implementation of SDG goals and targets (17.13 </w:t>
      </w:r>
      <w:r w:rsidR="00144788">
        <w:t>and</w:t>
      </w:r>
      <w:r w:rsidRPr="00096A22">
        <w:t xml:space="preserve"> 17.14). The third theme addresses </w:t>
      </w:r>
      <w:r w:rsidRPr="00096A22">
        <w:rPr>
          <w:i/>
        </w:rPr>
        <w:t>access to technology</w:t>
      </w:r>
      <w:r w:rsidRPr="00096A22">
        <w:t xml:space="preserve"> (17.6, 17.7, 9.5, 9.a </w:t>
      </w:r>
      <w:r w:rsidR="00144788">
        <w:t>and</w:t>
      </w:r>
      <w:r w:rsidRPr="00096A22">
        <w:t xml:space="preserve"> 9.b). The fourth and final theme addresses </w:t>
      </w:r>
      <w:r w:rsidRPr="00096A22">
        <w:rPr>
          <w:i/>
        </w:rPr>
        <w:t>multi-stakeholder partnerships</w:t>
      </w:r>
      <w:r w:rsidRPr="00096A22">
        <w:t>, which are relevant for the global partnership in general (17.3, 17.6, 17.9, 17.16</w:t>
      </w:r>
      <w:r w:rsidR="00FD44A6">
        <w:t xml:space="preserve"> and</w:t>
      </w:r>
      <w:r w:rsidRPr="00096A22">
        <w:t xml:space="preserve"> 17.17).</w:t>
      </w:r>
      <w:r w:rsidR="004A7123">
        <w:t xml:space="preserve"> </w:t>
      </w:r>
      <w:r w:rsidR="00932AC4" w:rsidRPr="00096A22">
        <w:t xml:space="preserve">An expert workshop </w:t>
      </w:r>
      <w:r w:rsidR="00A51FCF" w:rsidRPr="00096A22">
        <w:t xml:space="preserve">on the research needs for SDG 17 was held in Stockholm in May of 2018 to </w:t>
      </w:r>
      <w:r w:rsidR="00932AC4" w:rsidRPr="00096A22">
        <w:t>provide complementary insight</w:t>
      </w:r>
      <w:r w:rsidR="00A51FCF" w:rsidRPr="00096A22">
        <w:t xml:space="preserve"> for this report</w:t>
      </w:r>
      <w:r w:rsidR="00932AC4" w:rsidRPr="00096A22">
        <w:t>.</w:t>
      </w:r>
    </w:p>
    <w:p w14:paraId="77022EA3" w14:textId="77777777" w:rsidR="00013C53" w:rsidRPr="00096A22" w:rsidRDefault="008E2542" w:rsidP="00925760">
      <w:pPr>
        <w:pStyle w:val="Heading2"/>
        <w:numPr>
          <w:ilvl w:val="0"/>
          <w:numId w:val="0"/>
        </w:numPr>
        <w:ind w:left="576" w:hanging="576"/>
      </w:pPr>
      <w:bookmarkStart w:id="6" w:name="_Toc529789823"/>
      <w:r w:rsidRPr="00096A22">
        <w:t>Overview of the goals and targets</w:t>
      </w:r>
      <w:bookmarkEnd w:id="6"/>
    </w:p>
    <w:p w14:paraId="29C427C4" w14:textId="0ADAB487" w:rsidR="00ED4291" w:rsidRPr="00096A22" w:rsidRDefault="00ED4291" w:rsidP="00ED4291">
      <w:pPr>
        <w:pStyle w:val="Caption"/>
        <w:keepNext/>
      </w:pPr>
      <w:r w:rsidRPr="00096A22">
        <w:t xml:space="preserve">Table </w:t>
      </w:r>
      <w:r w:rsidR="0000333D">
        <w:fldChar w:fldCharType="begin"/>
      </w:r>
      <w:r w:rsidR="0000333D">
        <w:instrText xml:space="preserve"> SEQ Table \* ARABIC </w:instrText>
      </w:r>
      <w:r w:rsidR="0000333D">
        <w:fldChar w:fldCharType="separate"/>
      </w:r>
      <w:r w:rsidR="002463A5" w:rsidRPr="00096A22">
        <w:t>1</w:t>
      </w:r>
      <w:r w:rsidR="0000333D">
        <w:fldChar w:fldCharType="end"/>
      </w:r>
      <w:r w:rsidRPr="00096A22">
        <w:t xml:space="preserve">. Overview of SDG 17. Targets </w:t>
      </w:r>
      <w:r w:rsidR="000B227F">
        <w:t xml:space="preserve">included </w:t>
      </w:r>
      <w:r w:rsidR="00497974" w:rsidRPr="00096A22">
        <w:t xml:space="preserve">in this review </w:t>
      </w:r>
      <w:r w:rsidRPr="00096A22">
        <w:t>are in bold.</w:t>
      </w:r>
    </w:p>
    <w:tbl>
      <w:tblPr>
        <w:tblStyle w:val="TableGrid"/>
        <w:tblW w:w="0" w:type="auto"/>
        <w:tblLook w:val="04A0" w:firstRow="1" w:lastRow="0" w:firstColumn="1" w:lastColumn="0" w:noHBand="0" w:noVBand="1"/>
      </w:tblPr>
      <w:tblGrid>
        <w:gridCol w:w="1002"/>
        <w:gridCol w:w="7724"/>
      </w:tblGrid>
      <w:tr w:rsidR="00013C53" w:rsidRPr="00096A22" w14:paraId="6EC6386A" w14:textId="77777777" w:rsidTr="00BD26C0">
        <w:trPr>
          <w:cnfStyle w:val="100000000000" w:firstRow="1" w:lastRow="0" w:firstColumn="0" w:lastColumn="0" w:oddVBand="0" w:evenVBand="0" w:oddHBand="0" w:evenHBand="0" w:firstRowFirstColumn="0" w:firstRowLastColumn="0" w:lastRowFirstColumn="0" w:lastRowLastColumn="0"/>
        </w:trPr>
        <w:tc>
          <w:tcPr>
            <w:tcW w:w="8726" w:type="dxa"/>
            <w:gridSpan w:val="2"/>
          </w:tcPr>
          <w:p w14:paraId="65364A1D" w14:textId="77777777" w:rsidR="00013C53" w:rsidRPr="00096A22" w:rsidRDefault="00013C53" w:rsidP="00BD26C0">
            <w:pPr>
              <w:pStyle w:val="TableFigureTitle"/>
            </w:pPr>
            <w:r w:rsidRPr="00096A22">
              <w:t>SDG 17. Strengthen the means of implementation and revitalize the global partnership for sustainable development</w:t>
            </w:r>
          </w:p>
        </w:tc>
      </w:tr>
      <w:tr w:rsidR="00013C53" w:rsidRPr="00096A22" w14:paraId="3D7C32E0" w14:textId="77777777" w:rsidTr="00BD26C0">
        <w:tc>
          <w:tcPr>
            <w:tcW w:w="1002" w:type="dxa"/>
          </w:tcPr>
          <w:p w14:paraId="456F1A57" w14:textId="77777777" w:rsidR="00013C53" w:rsidRPr="00096A22" w:rsidRDefault="00013C53" w:rsidP="00BD26C0">
            <w:pPr>
              <w:rPr>
                <w:sz w:val="18"/>
              </w:rPr>
            </w:pPr>
            <w:r w:rsidRPr="00096A22">
              <w:rPr>
                <w:sz w:val="18"/>
              </w:rPr>
              <w:t>17.1</w:t>
            </w:r>
          </w:p>
        </w:tc>
        <w:tc>
          <w:tcPr>
            <w:tcW w:w="7724" w:type="dxa"/>
          </w:tcPr>
          <w:p w14:paraId="525261BB" w14:textId="50EE1CBB" w:rsidR="00013C53" w:rsidRPr="00096A22" w:rsidRDefault="00013C53" w:rsidP="00BD26C0">
            <w:pPr>
              <w:rPr>
                <w:b/>
                <w:sz w:val="18"/>
              </w:rPr>
            </w:pPr>
            <w:r w:rsidRPr="00096A22">
              <w:rPr>
                <w:b/>
                <w:sz w:val="18"/>
              </w:rPr>
              <w:t>Strengthen domestic resource mobili</w:t>
            </w:r>
            <w:r w:rsidR="00FB01AA">
              <w:rPr>
                <w:b/>
                <w:sz w:val="18"/>
              </w:rPr>
              <w:t>s</w:t>
            </w:r>
            <w:r w:rsidRPr="00096A22">
              <w:rPr>
                <w:b/>
                <w:sz w:val="18"/>
              </w:rPr>
              <w:t>ation, including through international support to developing countries, to improve domestic capacity for tax and other revenue collection</w:t>
            </w:r>
          </w:p>
        </w:tc>
      </w:tr>
      <w:tr w:rsidR="00013C53" w:rsidRPr="00096A22" w14:paraId="4C36E748" w14:textId="77777777" w:rsidTr="00BD26C0">
        <w:tc>
          <w:tcPr>
            <w:tcW w:w="1002" w:type="dxa"/>
          </w:tcPr>
          <w:p w14:paraId="60B8A373" w14:textId="77777777" w:rsidR="00013C53" w:rsidRPr="00096A22" w:rsidRDefault="00013C53" w:rsidP="00BD26C0">
            <w:pPr>
              <w:rPr>
                <w:sz w:val="18"/>
              </w:rPr>
            </w:pPr>
            <w:r w:rsidRPr="00096A22">
              <w:rPr>
                <w:sz w:val="18"/>
              </w:rPr>
              <w:t>17.2</w:t>
            </w:r>
          </w:p>
        </w:tc>
        <w:tc>
          <w:tcPr>
            <w:tcW w:w="7724" w:type="dxa"/>
          </w:tcPr>
          <w:p w14:paraId="26635815" w14:textId="77777777" w:rsidR="00013C53" w:rsidRPr="00096A22" w:rsidRDefault="00013C53" w:rsidP="00BD26C0">
            <w:pPr>
              <w:rPr>
                <w:sz w:val="18"/>
              </w:rPr>
            </w:pPr>
            <w:r w:rsidRPr="00096A22">
              <w:rPr>
                <w:sz w:val="18"/>
              </w:rPr>
              <w:t>Developed countries to implement fully their official development assistance commitments, including the commitment by many developed countries to achieve the target of 0.7 per cent of ODA/GNI to developing countries and 0.15 to 0.20 per cent of ODA/GNI to least developed countries; ODA providers are encouraged to consider setting a target to provide at least 0.20 per cent of ODA/GNI to least developed countries</w:t>
            </w:r>
          </w:p>
        </w:tc>
      </w:tr>
      <w:tr w:rsidR="00013C53" w:rsidRPr="00096A22" w14:paraId="141A2539" w14:textId="77777777" w:rsidTr="00BD26C0">
        <w:tc>
          <w:tcPr>
            <w:tcW w:w="1002" w:type="dxa"/>
          </w:tcPr>
          <w:p w14:paraId="7153A433" w14:textId="77777777" w:rsidR="00013C53" w:rsidRPr="00096A22" w:rsidRDefault="00013C53" w:rsidP="00BD26C0">
            <w:pPr>
              <w:rPr>
                <w:sz w:val="18"/>
              </w:rPr>
            </w:pPr>
            <w:r w:rsidRPr="00096A22">
              <w:rPr>
                <w:sz w:val="18"/>
              </w:rPr>
              <w:t>17.3</w:t>
            </w:r>
          </w:p>
        </w:tc>
        <w:tc>
          <w:tcPr>
            <w:tcW w:w="7724" w:type="dxa"/>
          </w:tcPr>
          <w:p w14:paraId="30CF19B6" w14:textId="77777777" w:rsidR="00013C53" w:rsidRPr="00096A22" w:rsidRDefault="00013C53" w:rsidP="00BD26C0">
            <w:pPr>
              <w:rPr>
                <w:b/>
                <w:sz w:val="18"/>
              </w:rPr>
            </w:pPr>
            <w:r w:rsidRPr="00096A22">
              <w:rPr>
                <w:b/>
                <w:sz w:val="18"/>
              </w:rPr>
              <w:t>Mobilize additional financial resources for developing countries from multiple sources</w:t>
            </w:r>
          </w:p>
        </w:tc>
      </w:tr>
      <w:tr w:rsidR="00013C53" w:rsidRPr="00096A22" w14:paraId="2164E1CE" w14:textId="77777777" w:rsidTr="00BD26C0">
        <w:tc>
          <w:tcPr>
            <w:tcW w:w="1002" w:type="dxa"/>
          </w:tcPr>
          <w:p w14:paraId="4A12C7D5" w14:textId="77777777" w:rsidR="00013C53" w:rsidRPr="00096A22" w:rsidRDefault="00013C53" w:rsidP="00BD26C0">
            <w:pPr>
              <w:rPr>
                <w:sz w:val="18"/>
              </w:rPr>
            </w:pPr>
            <w:r w:rsidRPr="00096A22">
              <w:rPr>
                <w:sz w:val="18"/>
              </w:rPr>
              <w:lastRenderedPageBreak/>
              <w:t>17.4</w:t>
            </w:r>
          </w:p>
        </w:tc>
        <w:tc>
          <w:tcPr>
            <w:tcW w:w="7724" w:type="dxa"/>
          </w:tcPr>
          <w:p w14:paraId="4D892533" w14:textId="77777777" w:rsidR="00013C53" w:rsidRPr="00096A22" w:rsidRDefault="00013C53" w:rsidP="00BD26C0">
            <w:pPr>
              <w:rPr>
                <w:sz w:val="18"/>
              </w:rPr>
            </w:pPr>
            <w:r w:rsidRPr="00096A22">
              <w:rPr>
                <w:sz w:val="18"/>
              </w:rPr>
              <w:t>Assist developing countries in attaining long-term debt sustainability through coordinated policies aimed at fostering debt financing, debt relief and debt restructuring, as appropriate, and address the external debt of highly indebted poor countries to reduce debt distress</w:t>
            </w:r>
          </w:p>
        </w:tc>
      </w:tr>
      <w:tr w:rsidR="00013C53" w:rsidRPr="00096A22" w14:paraId="35ACA3BC" w14:textId="77777777" w:rsidTr="00BD26C0">
        <w:tc>
          <w:tcPr>
            <w:tcW w:w="1002" w:type="dxa"/>
          </w:tcPr>
          <w:p w14:paraId="3637723B" w14:textId="77777777" w:rsidR="00013C53" w:rsidRPr="00096A22" w:rsidRDefault="00013C53" w:rsidP="00BD26C0">
            <w:pPr>
              <w:rPr>
                <w:sz w:val="18"/>
              </w:rPr>
            </w:pPr>
            <w:r w:rsidRPr="00096A22">
              <w:rPr>
                <w:sz w:val="18"/>
              </w:rPr>
              <w:t>17.5</w:t>
            </w:r>
          </w:p>
        </w:tc>
        <w:tc>
          <w:tcPr>
            <w:tcW w:w="7724" w:type="dxa"/>
          </w:tcPr>
          <w:p w14:paraId="08260579" w14:textId="77777777" w:rsidR="00013C53" w:rsidRPr="00096A22" w:rsidRDefault="00013C53" w:rsidP="00BD26C0">
            <w:pPr>
              <w:rPr>
                <w:sz w:val="18"/>
              </w:rPr>
            </w:pPr>
            <w:r w:rsidRPr="00096A22">
              <w:rPr>
                <w:sz w:val="18"/>
              </w:rPr>
              <w:t>Adopt and implement investment promotion regimes for least developed countries</w:t>
            </w:r>
          </w:p>
        </w:tc>
      </w:tr>
      <w:tr w:rsidR="00013C53" w:rsidRPr="00096A22" w14:paraId="2F54EC78" w14:textId="77777777" w:rsidTr="00BD26C0">
        <w:tc>
          <w:tcPr>
            <w:tcW w:w="1002" w:type="dxa"/>
          </w:tcPr>
          <w:p w14:paraId="3B1246A7" w14:textId="77777777" w:rsidR="00013C53" w:rsidRPr="00096A22" w:rsidRDefault="00013C53" w:rsidP="00BD26C0">
            <w:pPr>
              <w:rPr>
                <w:sz w:val="18"/>
              </w:rPr>
            </w:pPr>
            <w:r w:rsidRPr="00096A22">
              <w:rPr>
                <w:sz w:val="18"/>
              </w:rPr>
              <w:t>17.6</w:t>
            </w:r>
          </w:p>
        </w:tc>
        <w:tc>
          <w:tcPr>
            <w:tcW w:w="7724" w:type="dxa"/>
          </w:tcPr>
          <w:p w14:paraId="472D48F6" w14:textId="77777777" w:rsidR="00013C53" w:rsidRPr="00096A22" w:rsidRDefault="00013C53" w:rsidP="00BD26C0">
            <w:pPr>
              <w:rPr>
                <w:b/>
                <w:sz w:val="18"/>
              </w:rPr>
            </w:pPr>
            <w:r w:rsidRPr="00096A22">
              <w:rPr>
                <w:b/>
                <w:sz w:val="18"/>
              </w:rPr>
              <w:t>Enhance North-South, South-South and triangular regional and international cooperation on and access to science, technology and innovation and enhance knowledge sharing on mutually agreed terms, including through improved coordination among existing mechanisms, in particular at the United Nations level, and through a global technology facilitation mechanism</w:t>
            </w:r>
          </w:p>
        </w:tc>
      </w:tr>
      <w:tr w:rsidR="00013C53" w:rsidRPr="00096A22" w14:paraId="4DA97386" w14:textId="77777777" w:rsidTr="00BD26C0">
        <w:tc>
          <w:tcPr>
            <w:tcW w:w="1002" w:type="dxa"/>
          </w:tcPr>
          <w:p w14:paraId="68008F08" w14:textId="77777777" w:rsidR="00013C53" w:rsidRPr="00096A22" w:rsidRDefault="00013C53" w:rsidP="00BD26C0">
            <w:pPr>
              <w:rPr>
                <w:sz w:val="18"/>
              </w:rPr>
            </w:pPr>
            <w:r w:rsidRPr="00096A22">
              <w:rPr>
                <w:sz w:val="18"/>
              </w:rPr>
              <w:t>17.7</w:t>
            </w:r>
          </w:p>
        </w:tc>
        <w:tc>
          <w:tcPr>
            <w:tcW w:w="7724" w:type="dxa"/>
          </w:tcPr>
          <w:p w14:paraId="787C2522" w14:textId="77777777" w:rsidR="00013C53" w:rsidRPr="00096A22" w:rsidRDefault="00013C53" w:rsidP="00BD26C0">
            <w:pPr>
              <w:rPr>
                <w:b/>
                <w:sz w:val="18"/>
              </w:rPr>
            </w:pPr>
            <w:r w:rsidRPr="00096A22">
              <w:rPr>
                <w:b/>
                <w:sz w:val="18"/>
              </w:rPr>
              <w:t>Promote the development, transfer, dissemination and diffusion of environmentally sound technologies to developing countries on favourable terms, including on concessional and preferential terms, as mutually agreed</w:t>
            </w:r>
          </w:p>
        </w:tc>
      </w:tr>
      <w:tr w:rsidR="00013C53" w:rsidRPr="00096A22" w14:paraId="7AA029A6" w14:textId="77777777" w:rsidTr="00BD26C0">
        <w:tc>
          <w:tcPr>
            <w:tcW w:w="1002" w:type="dxa"/>
          </w:tcPr>
          <w:p w14:paraId="78C1C45A" w14:textId="77777777" w:rsidR="00013C53" w:rsidRPr="00096A22" w:rsidRDefault="00013C53" w:rsidP="00BD26C0">
            <w:pPr>
              <w:rPr>
                <w:sz w:val="18"/>
              </w:rPr>
            </w:pPr>
            <w:r w:rsidRPr="00096A22">
              <w:rPr>
                <w:sz w:val="18"/>
              </w:rPr>
              <w:t>17.8</w:t>
            </w:r>
          </w:p>
        </w:tc>
        <w:tc>
          <w:tcPr>
            <w:tcW w:w="7724" w:type="dxa"/>
          </w:tcPr>
          <w:p w14:paraId="3C96A762" w14:textId="77777777" w:rsidR="00013C53" w:rsidRPr="00096A22" w:rsidRDefault="00013C53" w:rsidP="00BD26C0">
            <w:pPr>
              <w:rPr>
                <w:sz w:val="18"/>
              </w:rPr>
            </w:pPr>
            <w:r w:rsidRPr="00096A22">
              <w:rPr>
                <w:sz w:val="18"/>
              </w:rPr>
              <w:t>Fully operationalize the technology bank and science, technology and innovation capacity-building mechanism for least developed countries by 2017 and enhance the use of enabling technology, in particular information and communications technology</w:t>
            </w:r>
          </w:p>
        </w:tc>
      </w:tr>
      <w:tr w:rsidR="00013C53" w:rsidRPr="00096A22" w14:paraId="0E822C6E" w14:textId="77777777" w:rsidTr="00BD26C0">
        <w:tc>
          <w:tcPr>
            <w:tcW w:w="1002" w:type="dxa"/>
          </w:tcPr>
          <w:p w14:paraId="6D6AB758" w14:textId="77777777" w:rsidR="00013C53" w:rsidRPr="00096A22" w:rsidRDefault="00013C53" w:rsidP="00BD26C0">
            <w:pPr>
              <w:rPr>
                <w:sz w:val="18"/>
              </w:rPr>
            </w:pPr>
            <w:r w:rsidRPr="00096A22">
              <w:rPr>
                <w:sz w:val="18"/>
              </w:rPr>
              <w:t>17.9</w:t>
            </w:r>
          </w:p>
        </w:tc>
        <w:tc>
          <w:tcPr>
            <w:tcW w:w="7724" w:type="dxa"/>
          </w:tcPr>
          <w:p w14:paraId="3208967E" w14:textId="77777777" w:rsidR="00013C53" w:rsidRPr="00096A22" w:rsidRDefault="00013C53" w:rsidP="00BD26C0">
            <w:pPr>
              <w:rPr>
                <w:b/>
                <w:sz w:val="18"/>
              </w:rPr>
            </w:pPr>
            <w:r w:rsidRPr="00096A22">
              <w:rPr>
                <w:b/>
                <w:sz w:val="18"/>
              </w:rPr>
              <w:t>Enhance international support for implementing effective and targeted capacity-building in developing countries to support national plans to implement all the sustainable development goals, including through North-South, South-South and triangular cooperation</w:t>
            </w:r>
          </w:p>
        </w:tc>
      </w:tr>
      <w:tr w:rsidR="00013C53" w:rsidRPr="00096A22" w14:paraId="6FAADFFA" w14:textId="77777777" w:rsidTr="00BD26C0">
        <w:tc>
          <w:tcPr>
            <w:tcW w:w="1002" w:type="dxa"/>
          </w:tcPr>
          <w:p w14:paraId="32EF2478" w14:textId="77777777" w:rsidR="00013C53" w:rsidRPr="00096A22" w:rsidRDefault="00013C53" w:rsidP="00BD26C0">
            <w:pPr>
              <w:rPr>
                <w:sz w:val="18"/>
              </w:rPr>
            </w:pPr>
            <w:r w:rsidRPr="00096A22">
              <w:rPr>
                <w:sz w:val="18"/>
              </w:rPr>
              <w:t>17.10</w:t>
            </w:r>
          </w:p>
        </w:tc>
        <w:tc>
          <w:tcPr>
            <w:tcW w:w="7724" w:type="dxa"/>
          </w:tcPr>
          <w:p w14:paraId="1B56E564" w14:textId="77777777" w:rsidR="00013C53" w:rsidRPr="00096A22" w:rsidRDefault="00013C53" w:rsidP="00BD26C0">
            <w:pPr>
              <w:rPr>
                <w:sz w:val="18"/>
              </w:rPr>
            </w:pPr>
            <w:r w:rsidRPr="00096A22">
              <w:rPr>
                <w:sz w:val="18"/>
              </w:rPr>
              <w:t>Promote a universal, rules-based, open, non-discriminatory and equitable multilateral trading system under the World Trade Organization, including through the conclusion of negotiations under its Doha Development Agenda</w:t>
            </w:r>
          </w:p>
        </w:tc>
      </w:tr>
      <w:tr w:rsidR="00013C53" w:rsidRPr="00096A22" w14:paraId="51A9FD43" w14:textId="77777777" w:rsidTr="00BD26C0">
        <w:tc>
          <w:tcPr>
            <w:tcW w:w="1002" w:type="dxa"/>
          </w:tcPr>
          <w:p w14:paraId="095F71EF" w14:textId="77777777" w:rsidR="00013C53" w:rsidRPr="00096A22" w:rsidRDefault="00013C53" w:rsidP="00BD26C0">
            <w:pPr>
              <w:rPr>
                <w:sz w:val="18"/>
              </w:rPr>
            </w:pPr>
            <w:r w:rsidRPr="00096A22">
              <w:rPr>
                <w:sz w:val="18"/>
              </w:rPr>
              <w:t>17.11</w:t>
            </w:r>
          </w:p>
        </w:tc>
        <w:tc>
          <w:tcPr>
            <w:tcW w:w="7724" w:type="dxa"/>
          </w:tcPr>
          <w:p w14:paraId="2DA297E5" w14:textId="77777777" w:rsidR="00013C53" w:rsidRPr="00096A22" w:rsidRDefault="00013C53" w:rsidP="00BD26C0">
            <w:pPr>
              <w:rPr>
                <w:sz w:val="18"/>
              </w:rPr>
            </w:pPr>
            <w:r w:rsidRPr="00096A22">
              <w:rPr>
                <w:sz w:val="18"/>
              </w:rPr>
              <w:t>Significantly increase the exports of developing countries, in particular with a view to doubling the least developed countries’ share of global exports by 2020</w:t>
            </w:r>
          </w:p>
        </w:tc>
      </w:tr>
      <w:tr w:rsidR="00013C53" w:rsidRPr="00096A22" w14:paraId="19ECF209" w14:textId="77777777" w:rsidTr="00BD26C0">
        <w:tc>
          <w:tcPr>
            <w:tcW w:w="1002" w:type="dxa"/>
          </w:tcPr>
          <w:p w14:paraId="0165E1B7" w14:textId="77777777" w:rsidR="00013C53" w:rsidRPr="00096A22" w:rsidRDefault="00013C53" w:rsidP="00BD26C0">
            <w:pPr>
              <w:rPr>
                <w:sz w:val="18"/>
              </w:rPr>
            </w:pPr>
            <w:r w:rsidRPr="00096A22">
              <w:rPr>
                <w:sz w:val="18"/>
              </w:rPr>
              <w:t>17.12</w:t>
            </w:r>
          </w:p>
        </w:tc>
        <w:tc>
          <w:tcPr>
            <w:tcW w:w="7724" w:type="dxa"/>
          </w:tcPr>
          <w:p w14:paraId="3C90CBF3" w14:textId="77777777" w:rsidR="00013C53" w:rsidRPr="00096A22" w:rsidRDefault="00013C53" w:rsidP="00BD26C0">
            <w:pPr>
              <w:rPr>
                <w:sz w:val="18"/>
              </w:rPr>
            </w:pPr>
            <w:r w:rsidRPr="00096A22">
              <w:rPr>
                <w:sz w:val="18"/>
              </w:rPr>
              <w:t>Realize timely implementation of duty-free and quota-free market access on a lasting basis for all least developed countries, consistent with World Trade Organization decisions, including by ensuring that preferential rules of origin applicable to imports from least developed countries are transparent and simple, and contribute to facilitating market access</w:t>
            </w:r>
          </w:p>
        </w:tc>
      </w:tr>
      <w:tr w:rsidR="00013C53" w:rsidRPr="00096A22" w14:paraId="74159639" w14:textId="77777777" w:rsidTr="00BD26C0">
        <w:tc>
          <w:tcPr>
            <w:tcW w:w="1002" w:type="dxa"/>
          </w:tcPr>
          <w:p w14:paraId="320E1086" w14:textId="77777777" w:rsidR="00013C53" w:rsidRPr="00096A22" w:rsidRDefault="00013C53" w:rsidP="00BD26C0">
            <w:pPr>
              <w:rPr>
                <w:sz w:val="18"/>
              </w:rPr>
            </w:pPr>
            <w:r w:rsidRPr="00096A22">
              <w:rPr>
                <w:sz w:val="18"/>
              </w:rPr>
              <w:t>17.13</w:t>
            </w:r>
          </w:p>
        </w:tc>
        <w:tc>
          <w:tcPr>
            <w:tcW w:w="7724" w:type="dxa"/>
          </w:tcPr>
          <w:p w14:paraId="609CA292" w14:textId="77777777" w:rsidR="00013C53" w:rsidRPr="00096A22" w:rsidRDefault="00013C53" w:rsidP="00BD26C0">
            <w:pPr>
              <w:rPr>
                <w:b/>
                <w:sz w:val="18"/>
              </w:rPr>
            </w:pPr>
            <w:r w:rsidRPr="00096A22">
              <w:rPr>
                <w:b/>
                <w:sz w:val="18"/>
              </w:rPr>
              <w:t>Enhance global macroeconomic stability, including through policy coordination and policy coherence</w:t>
            </w:r>
          </w:p>
        </w:tc>
      </w:tr>
      <w:tr w:rsidR="00013C53" w:rsidRPr="00096A22" w14:paraId="73B98FB7" w14:textId="77777777" w:rsidTr="00BD26C0">
        <w:tc>
          <w:tcPr>
            <w:tcW w:w="1002" w:type="dxa"/>
          </w:tcPr>
          <w:p w14:paraId="7B310B14" w14:textId="77777777" w:rsidR="00013C53" w:rsidRPr="00096A22" w:rsidRDefault="00013C53" w:rsidP="00BD26C0">
            <w:pPr>
              <w:rPr>
                <w:sz w:val="18"/>
              </w:rPr>
            </w:pPr>
            <w:r w:rsidRPr="00096A22">
              <w:rPr>
                <w:sz w:val="18"/>
              </w:rPr>
              <w:t>17.14</w:t>
            </w:r>
          </w:p>
        </w:tc>
        <w:tc>
          <w:tcPr>
            <w:tcW w:w="7724" w:type="dxa"/>
          </w:tcPr>
          <w:p w14:paraId="23830091" w14:textId="77777777" w:rsidR="00013C53" w:rsidRPr="00096A22" w:rsidRDefault="00013C53" w:rsidP="00BD26C0">
            <w:pPr>
              <w:rPr>
                <w:b/>
                <w:sz w:val="18"/>
              </w:rPr>
            </w:pPr>
            <w:r w:rsidRPr="00096A22">
              <w:rPr>
                <w:b/>
                <w:sz w:val="18"/>
              </w:rPr>
              <w:t>Enhance policy coherence for sustainable development</w:t>
            </w:r>
          </w:p>
        </w:tc>
      </w:tr>
      <w:tr w:rsidR="00013C53" w:rsidRPr="00096A22" w14:paraId="5A91F4F1" w14:textId="77777777" w:rsidTr="00BD26C0">
        <w:tc>
          <w:tcPr>
            <w:tcW w:w="1002" w:type="dxa"/>
          </w:tcPr>
          <w:p w14:paraId="30CB65E7" w14:textId="77777777" w:rsidR="00013C53" w:rsidRPr="00096A22" w:rsidRDefault="00013C53" w:rsidP="00BD26C0">
            <w:pPr>
              <w:rPr>
                <w:sz w:val="18"/>
              </w:rPr>
            </w:pPr>
            <w:r w:rsidRPr="00096A22">
              <w:rPr>
                <w:sz w:val="18"/>
              </w:rPr>
              <w:t>17.15</w:t>
            </w:r>
          </w:p>
        </w:tc>
        <w:tc>
          <w:tcPr>
            <w:tcW w:w="7724" w:type="dxa"/>
          </w:tcPr>
          <w:p w14:paraId="061123AA" w14:textId="77777777" w:rsidR="00013C53" w:rsidRPr="00096A22" w:rsidRDefault="00013C53" w:rsidP="00BD26C0">
            <w:pPr>
              <w:rPr>
                <w:sz w:val="18"/>
              </w:rPr>
            </w:pPr>
            <w:r w:rsidRPr="00096A22">
              <w:rPr>
                <w:sz w:val="18"/>
              </w:rPr>
              <w:t>Respect each country’s policy space and leadership to establish and implement policies for poverty eradication and sustainable development</w:t>
            </w:r>
          </w:p>
        </w:tc>
      </w:tr>
      <w:tr w:rsidR="00013C53" w:rsidRPr="00096A22" w14:paraId="62436DFD" w14:textId="77777777" w:rsidTr="00BD26C0">
        <w:tc>
          <w:tcPr>
            <w:tcW w:w="1002" w:type="dxa"/>
          </w:tcPr>
          <w:p w14:paraId="2C6EA6A1" w14:textId="77777777" w:rsidR="00013C53" w:rsidRPr="00096A22" w:rsidRDefault="00013C53" w:rsidP="00BD26C0">
            <w:pPr>
              <w:rPr>
                <w:sz w:val="18"/>
              </w:rPr>
            </w:pPr>
            <w:r w:rsidRPr="00096A22">
              <w:rPr>
                <w:sz w:val="18"/>
              </w:rPr>
              <w:t>17.16</w:t>
            </w:r>
          </w:p>
        </w:tc>
        <w:tc>
          <w:tcPr>
            <w:tcW w:w="7724" w:type="dxa"/>
          </w:tcPr>
          <w:p w14:paraId="2BFB499A" w14:textId="77777777" w:rsidR="00013C53" w:rsidRPr="00096A22" w:rsidRDefault="00013C53" w:rsidP="00BD26C0">
            <w:pPr>
              <w:rPr>
                <w:b/>
                <w:sz w:val="18"/>
              </w:rPr>
            </w:pPr>
            <w:r w:rsidRPr="00096A22">
              <w:rPr>
                <w:b/>
                <w:sz w:val="18"/>
              </w:rPr>
              <w:t>Enhance the global partnership for sustainable development, complemented by multi-stakeholder partnerships that mobilize and share knowledge, expertise, technology and financial resources, to support the achievement of the sustainable development goals in all countries, in particular developing countries</w:t>
            </w:r>
          </w:p>
        </w:tc>
      </w:tr>
      <w:tr w:rsidR="00013C53" w:rsidRPr="00096A22" w14:paraId="27C2748D" w14:textId="77777777" w:rsidTr="00BD26C0">
        <w:tc>
          <w:tcPr>
            <w:tcW w:w="1002" w:type="dxa"/>
          </w:tcPr>
          <w:p w14:paraId="4FDF62F8" w14:textId="77777777" w:rsidR="00013C53" w:rsidRPr="00096A22" w:rsidRDefault="00013C53" w:rsidP="00BD26C0">
            <w:pPr>
              <w:rPr>
                <w:sz w:val="18"/>
              </w:rPr>
            </w:pPr>
            <w:r w:rsidRPr="00096A22">
              <w:rPr>
                <w:sz w:val="18"/>
              </w:rPr>
              <w:lastRenderedPageBreak/>
              <w:t>17.17</w:t>
            </w:r>
          </w:p>
        </w:tc>
        <w:tc>
          <w:tcPr>
            <w:tcW w:w="7724" w:type="dxa"/>
          </w:tcPr>
          <w:p w14:paraId="47E498B0" w14:textId="77777777" w:rsidR="00013C53" w:rsidRPr="00096A22" w:rsidRDefault="00013C53" w:rsidP="00BD26C0">
            <w:pPr>
              <w:rPr>
                <w:b/>
                <w:sz w:val="18"/>
              </w:rPr>
            </w:pPr>
            <w:r w:rsidRPr="00096A22">
              <w:rPr>
                <w:b/>
                <w:sz w:val="18"/>
              </w:rPr>
              <w:t>Encourage and promote effective public, public-private and civil society partnerships, building on the experience and resourcing strategies of partnerships</w:t>
            </w:r>
          </w:p>
        </w:tc>
      </w:tr>
      <w:tr w:rsidR="00013C53" w:rsidRPr="00096A22" w14:paraId="1AE983FE" w14:textId="77777777" w:rsidTr="00BD26C0">
        <w:tc>
          <w:tcPr>
            <w:tcW w:w="1002" w:type="dxa"/>
          </w:tcPr>
          <w:p w14:paraId="69FE0C2D" w14:textId="77777777" w:rsidR="00013C53" w:rsidRPr="00096A22" w:rsidRDefault="00013C53" w:rsidP="00BD26C0">
            <w:pPr>
              <w:rPr>
                <w:sz w:val="18"/>
              </w:rPr>
            </w:pPr>
            <w:r w:rsidRPr="00096A22">
              <w:rPr>
                <w:sz w:val="18"/>
              </w:rPr>
              <w:t>17.18</w:t>
            </w:r>
          </w:p>
        </w:tc>
        <w:tc>
          <w:tcPr>
            <w:tcW w:w="7724" w:type="dxa"/>
          </w:tcPr>
          <w:p w14:paraId="52261B13" w14:textId="77777777" w:rsidR="00013C53" w:rsidRPr="00096A22" w:rsidRDefault="00013C53" w:rsidP="00BD26C0">
            <w:pPr>
              <w:rPr>
                <w:sz w:val="18"/>
              </w:rPr>
            </w:pPr>
            <w:r w:rsidRPr="00096A22">
              <w:rPr>
                <w:sz w:val="18"/>
              </w:rPr>
              <w:t>By 2020, enhance capacity-building support to developing countries, including for least developed countries and small island developing States, to increase significantly the availability of high-quality, timely and reliable data disaggregated by income, gender, age, race, ethnicity, migratory status, disability, geographic location and other characteristics relevant in national contexts</w:t>
            </w:r>
          </w:p>
        </w:tc>
      </w:tr>
      <w:tr w:rsidR="00013C53" w:rsidRPr="00096A22" w14:paraId="04A49A66" w14:textId="77777777" w:rsidTr="00BD26C0">
        <w:tc>
          <w:tcPr>
            <w:tcW w:w="1002" w:type="dxa"/>
          </w:tcPr>
          <w:p w14:paraId="0B7963D2" w14:textId="77777777" w:rsidR="00013C53" w:rsidRPr="00096A22" w:rsidRDefault="00013C53" w:rsidP="00BD26C0">
            <w:pPr>
              <w:rPr>
                <w:sz w:val="18"/>
              </w:rPr>
            </w:pPr>
            <w:r w:rsidRPr="00096A22">
              <w:rPr>
                <w:sz w:val="18"/>
              </w:rPr>
              <w:t>17.19</w:t>
            </w:r>
          </w:p>
        </w:tc>
        <w:tc>
          <w:tcPr>
            <w:tcW w:w="7724" w:type="dxa"/>
          </w:tcPr>
          <w:p w14:paraId="4AF719C6" w14:textId="77777777" w:rsidR="00013C53" w:rsidRPr="00096A22" w:rsidRDefault="00013C53" w:rsidP="00BD26C0">
            <w:pPr>
              <w:rPr>
                <w:sz w:val="18"/>
              </w:rPr>
            </w:pPr>
            <w:r w:rsidRPr="00096A22">
              <w:rPr>
                <w:sz w:val="18"/>
              </w:rPr>
              <w:t>By 2030, build on existing initiatives to develop measurements of progress on sustainable development that complement gross domestic product, and support statistical capacity-building in developing countries</w:t>
            </w:r>
          </w:p>
        </w:tc>
      </w:tr>
    </w:tbl>
    <w:p w14:paraId="39C3E9E3" w14:textId="77777777" w:rsidR="00013C53" w:rsidRPr="00096A22" w:rsidRDefault="00013C53" w:rsidP="00013C53"/>
    <w:p w14:paraId="2BF07119" w14:textId="50F43EC5" w:rsidR="00BC48EE" w:rsidRPr="00096A22" w:rsidRDefault="00013C53" w:rsidP="008E2542">
      <w:r w:rsidRPr="00096A22">
        <w:t xml:space="preserve">We also include in our review a number of targets from SDG 16 on peace, justice and strong institutions, and </w:t>
      </w:r>
      <w:r w:rsidR="008169D0">
        <w:t xml:space="preserve">from </w:t>
      </w:r>
      <w:r w:rsidRPr="00096A22">
        <w:t>SDG 9 on industry, innovation and infrastructure. These are:</w:t>
      </w:r>
    </w:p>
    <w:p w14:paraId="422F986F" w14:textId="34B3B12C" w:rsidR="00BC48EE" w:rsidRPr="00096A22" w:rsidRDefault="00013C53" w:rsidP="007344DD">
      <w:pPr>
        <w:pStyle w:val="ListBullet"/>
      </w:pPr>
      <w:r w:rsidRPr="00096A22">
        <w:t>16.3 Promote the rule of law at the national and international levels and ensure equal access to justice for all</w:t>
      </w:r>
    </w:p>
    <w:p w14:paraId="36F7B7B0" w14:textId="05C41192" w:rsidR="00BC48EE" w:rsidRPr="00096A22" w:rsidRDefault="00013C53" w:rsidP="007344DD">
      <w:pPr>
        <w:pStyle w:val="ListBullet"/>
      </w:pPr>
      <w:r w:rsidRPr="00096A22">
        <w:t>16.5 Substantially reduce corruption and bribery in all their forms</w:t>
      </w:r>
    </w:p>
    <w:p w14:paraId="584E9ADA" w14:textId="77565306" w:rsidR="00BC48EE" w:rsidRPr="00096A22" w:rsidRDefault="00013C53" w:rsidP="007344DD">
      <w:pPr>
        <w:pStyle w:val="ListBullet"/>
      </w:pPr>
      <w:r w:rsidRPr="00096A22">
        <w:t>16.6 Develop effective, accountable and transparent institutions at all levels</w:t>
      </w:r>
    </w:p>
    <w:p w14:paraId="5A9774B6" w14:textId="4EEC26EC" w:rsidR="00BC48EE" w:rsidRPr="00096A22" w:rsidRDefault="00013C53" w:rsidP="007344DD">
      <w:pPr>
        <w:pStyle w:val="ListBullet"/>
      </w:pPr>
      <w:r w:rsidRPr="00096A22">
        <w:t>9.5 Enhance scientific research, upgrade the technological capabilities of industrial sectors in all countries, in particular developing countries, including, by 2030, encouraging innovation and substantially increasing the number of research and development workers per 1 million people and public and private research and development spending</w:t>
      </w:r>
    </w:p>
    <w:p w14:paraId="7F6549F2" w14:textId="0BD5C820" w:rsidR="00BC48EE" w:rsidRPr="00096A22" w:rsidRDefault="00013C53" w:rsidP="007344DD">
      <w:pPr>
        <w:pStyle w:val="ListBullet"/>
      </w:pPr>
      <w:r w:rsidRPr="00096A22">
        <w:t>9</w:t>
      </w:r>
      <w:r w:rsidR="009872FC">
        <w:t>.</w:t>
      </w:r>
      <w:r w:rsidRPr="00096A22">
        <w:t xml:space="preserve">a Facilitate sustainable and resilient infrastructure development in developing countries through enhanced financial, technological and technical support to African countries, least developed countries, landlocked developing countries and small island developing </w:t>
      </w:r>
      <w:r w:rsidR="00B26C8F">
        <w:t>s</w:t>
      </w:r>
      <w:r w:rsidRPr="00096A22">
        <w:t>tates</w:t>
      </w:r>
      <w:r w:rsidR="00B26C8F">
        <w:t>,</w:t>
      </w:r>
      <w:r w:rsidRPr="00096A22">
        <w:t xml:space="preserve"> and</w:t>
      </w:r>
    </w:p>
    <w:p w14:paraId="6BD2D554" w14:textId="77777777" w:rsidR="008E2542" w:rsidRPr="00096A22" w:rsidRDefault="00013C53" w:rsidP="007344DD">
      <w:pPr>
        <w:pStyle w:val="ListBullet"/>
      </w:pPr>
      <w:r w:rsidRPr="00096A22">
        <w:t>9</w:t>
      </w:r>
      <w:r w:rsidR="009872FC">
        <w:t>.</w:t>
      </w:r>
      <w:r w:rsidRPr="00096A22">
        <w:t>b Support domestic technology development, research and innovation in developing countries, including by ensuring a conducive policy environment for, inter alia, industrial diversification and value addition to commodities.</w:t>
      </w:r>
    </w:p>
    <w:p w14:paraId="124EE0A5" w14:textId="77777777" w:rsidR="008E2542" w:rsidRPr="00096A22" w:rsidRDefault="008E2542" w:rsidP="00925760">
      <w:pPr>
        <w:pStyle w:val="Heading2"/>
        <w:numPr>
          <w:ilvl w:val="0"/>
          <w:numId w:val="0"/>
        </w:numPr>
        <w:ind w:left="576" w:hanging="576"/>
      </w:pPr>
      <w:bookmarkStart w:id="7" w:name="_Toc529789824"/>
      <w:r w:rsidRPr="00096A22">
        <w:t>Summary findings: research needs</w:t>
      </w:r>
      <w:bookmarkEnd w:id="7"/>
    </w:p>
    <w:p w14:paraId="770CC76B" w14:textId="1249A31B" w:rsidR="00932AC4" w:rsidRPr="00096A22" w:rsidRDefault="00932AC4" w:rsidP="00932AC4">
      <w:r w:rsidRPr="00096A22">
        <w:t>Below is a summary of the research directions identified under each theme.</w:t>
      </w:r>
      <w:r w:rsidR="00715E6B" w:rsidRPr="00096A22">
        <w:t xml:space="preserve"> </w:t>
      </w:r>
      <w:r w:rsidR="007719EF">
        <w:t>The p</w:t>
      </w:r>
      <w:r w:rsidR="00123E50" w:rsidRPr="00096A22">
        <w:t>ropos</w:t>
      </w:r>
      <w:r w:rsidR="007719EF">
        <w:t>als made</w:t>
      </w:r>
      <w:r w:rsidR="00123E50" w:rsidRPr="00096A22">
        <w:t xml:space="preserve"> by experts during the workshop on SDG 17</w:t>
      </w:r>
      <w:r w:rsidR="007719EF">
        <w:t xml:space="preserve"> are indicated </w:t>
      </w:r>
      <w:r w:rsidR="004C7042">
        <w:t>under theme 2 on policy coherence</w:t>
      </w:r>
      <w:r w:rsidR="007719EF">
        <w:t>.</w:t>
      </w:r>
    </w:p>
    <w:p w14:paraId="404B5DE4" w14:textId="6DB2EA30" w:rsidR="008E2542" w:rsidRPr="00096A22" w:rsidRDefault="00D830B6" w:rsidP="00925760">
      <w:pPr>
        <w:pStyle w:val="Heading3"/>
        <w:numPr>
          <w:ilvl w:val="0"/>
          <w:numId w:val="0"/>
        </w:numPr>
        <w:ind w:left="720" w:hanging="720"/>
      </w:pPr>
      <w:bookmarkStart w:id="8" w:name="_Toc508746760"/>
      <w:bookmarkStart w:id="9" w:name="_Toc529789825"/>
      <w:r w:rsidRPr="00096A22">
        <w:t xml:space="preserve">Theme 1: </w:t>
      </w:r>
      <w:r w:rsidR="008E2542" w:rsidRPr="00096A22">
        <w:t>Public administration and the quality of government</w:t>
      </w:r>
      <w:bookmarkEnd w:id="8"/>
      <w:bookmarkEnd w:id="9"/>
    </w:p>
    <w:p w14:paraId="265DBDC9" w14:textId="22F02C5B" w:rsidR="008E2542" w:rsidRPr="00096A22" w:rsidRDefault="00D07E35" w:rsidP="007344DD">
      <w:pPr>
        <w:pStyle w:val="ListBullet"/>
      </w:pPr>
      <w:r>
        <w:t>E</w:t>
      </w:r>
      <w:r w:rsidR="008E2542" w:rsidRPr="00096A22">
        <w:t>xpand existing research on the impacts of quality of government to cover a broader range of the social, environmental and economic outcomes encompassed by the 17 SDG</w:t>
      </w:r>
      <w:r w:rsidR="00BC48EE" w:rsidRPr="00096A22">
        <w:t>s</w:t>
      </w:r>
      <w:r w:rsidR="008E2542" w:rsidRPr="00096A22">
        <w:t>.</w:t>
      </w:r>
    </w:p>
    <w:p w14:paraId="75468635" w14:textId="1153837D" w:rsidR="008E2542" w:rsidRPr="00096A22" w:rsidRDefault="00D07E35" w:rsidP="007344DD">
      <w:pPr>
        <w:pStyle w:val="ListBullet"/>
      </w:pPr>
      <w:r>
        <w:t>B</w:t>
      </w:r>
      <w:r w:rsidR="008E2542" w:rsidRPr="00096A22">
        <w:t xml:space="preserve">etter understand the potential for trade-offs between gains in the </w:t>
      </w:r>
      <w:r w:rsidR="006311B0" w:rsidRPr="00096A22">
        <w:t>quality of government</w:t>
      </w:r>
      <w:r w:rsidR="008E2542" w:rsidRPr="00096A22">
        <w:t xml:space="preserve"> and environmentally oriented SDG targets, and how to mitigate any potential trade-offs.</w:t>
      </w:r>
    </w:p>
    <w:p w14:paraId="2D979651" w14:textId="7D517F9C" w:rsidR="008E2542" w:rsidRPr="00096A22" w:rsidRDefault="00D07E35" w:rsidP="007344DD">
      <w:pPr>
        <w:pStyle w:val="ListBullet"/>
      </w:pPr>
      <w:r>
        <w:lastRenderedPageBreak/>
        <w:t>B</w:t>
      </w:r>
      <w:r w:rsidR="008E2542" w:rsidRPr="00096A22">
        <w:t>etter understand how the institutional context in which growth occurs affects the full range of sustainability outcomes entailed within the SDGs (i.e. environmental, social, and economic).</w:t>
      </w:r>
    </w:p>
    <w:p w14:paraId="2B6E6D08" w14:textId="6DC4BEE6" w:rsidR="008E2542" w:rsidRPr="00096A22" w:rsidRDefault="00D07E35" w:rsidP="007344DD">
      <w:pPr>
        <w:pStyle w:val="ListBullet"/>
      </w:pPr>
      <w:r>
        <w:t>Assess</w:t>
      </w:r>
      <w:r w:rsidR="008E2542" w:rsidRPr="00096A22">
        <w:t xml:space="preserve"> where achievement of SDGs requires longer-term investments from governments (i.e. investments where returns</w:t>
      </w:r>
      <w:r w:rsidR="007908C5">
        <w:t xml:space="preserve"> and </w:t>
      </w:r>
      <w:r w:rsidR="008E2542" w:rsidRPr="00096A22">
        <w:t>benefits arrive over the longer-term) and</w:t>
      </w:r>
      <w:r w:rsidR="00B80789">
        <w:t xml:space="preserve"> </w:t>
      </w:r>
      <w:r w:rsidR="008E2542" w:rsidRPr="00096A22">
        <w:t>iden</w:t>
      </w:r>
      <w:r w:rsidR="00EE7250">
        <w:t xml:space="preserve">tify </w:t>
      </w:r>
      <w:r w:rsidR="008E2542" w:rsidRPr="00096A22">
        <w:t>the conditions for sustained public support for making these investments.</w:t>
      </w:r>
    </w:p>
    <w:p w14:paraId="465989F2" w14:textId="2FDC5CF1" w:rsidR="008E2542" w:rsidRPr="00096A22" w:rsidRDefault="008E2542" w:rsidP="007344DD">
      <w:pPr>
        <w:pStyle w:val="ListBullet"/>
      </w:pPr>
      <w:r w:rsidRPr="00096A22">
        <w:t xml:space="preserve">Existing research suggests that the key determinants of public support for public regulation and public investment may interact in different ways with the very </w:t>
      </w:r>
      <w:r w:rsidR="00322F68">
        <w:t>diverse</w:t>
      </w:r>
      <w:r w:rsidR="00322F68" w:rsidRPr="00096A22">
        <w:t xml:space="preserve"> </w:t>
      </w:r>
      <w:r w:rsidRPr="00096A22">
        <w:t>economic, social, and environmental sustainable development objectives encompassed within the SDGs. These relationships should be better understood.</w:t>
      </w:r>
    </w:p>
    <w:p w14:paraId="740DF209" w14:textId="10567179" w:rsidR="008E2542" w:rsidRPr="00096A22" w:rsidRDefault="00EE7250" w:rsidP="007344DD">
      <w:pPr>
        <w:pStyle w:val="ListBullet"/>
      </w:pPr>
      <w:r>
        <w:t>Better understand</w:t>
      </w:r>
      <w:r w:rsidR="008E2542" w:rsidRPr="00096A22">
        <w:t xml:space="preserve"> how public</w:t>
      </w:r>
      <w:r w:rsidR="009872FC">
        <w:t>-</w:t>
      </w:r>
      <w:r w:rsidR="008E2542" w:rsidRPr="00096A22">
        <w:t>private financing models for mobilising private investment in the SDGs can be designed to maximi</w:t>
      </w:r>
      <w:r w:rsidR="00FB01AA">
        <w:t>s</w:t>
      </w:r>
      <w:r w:rsidR="008E2542" w:rsidRPr="00096A22">
        <w:t>e trust between partners and support from the public.</w:t>
      </w:r>
    </w:p>
    <w:p w14:paraId="560B3D67" w14:textId="53184027" w:rsidR="008E2542" w:rsidRPr="00096A22" w:rsidRDefault="008E2542" w:rsidP="007344DD">
      <w:pPr>
        <w:pStyle w:val="ListBullet"/>
      </w:pPr>
      <w:r w:rsidRPr="00096A22">
        <w:t xml:space="preserve">Fill theoretical gaps on </w:t>
      </w:r>
      <w:r w:rsidR="00EE7250">
        <w:t>the</w:t>
      </w:r>
      <w:r w:rsidRPr="00096A22">
        <w:t xml:space="preserve"> fair distribution of financial risk between public and private actors in the transition to sustainability.</w:t>
      </w:r>
    </w:p>
    <w:p w14:paraId="083F7542" w14:textId="40864C45" w:rsidR="008E2542" w:rsidRPr="00096A22" w:rsidRDefault="008E2542" w:rsidP="007344DD">
      <w:pPr>
        <w:pStyle w:val="ListBullet"/>
      </w:pPr>
      <w:r w:rsidRPr="00096A22">
        <w:t>Asses</w:t>
      </w:r>
      <w:r w:rsidR="00EE7250">
        <w:t>s</w:t>
      </w:r>
      <w:r w:rsidRPr="00096A22">
        <w:t xml:space="preserve"> how local conditions</w:t>
      </w:r>
      <w:r w:rsidR="00EE7250">
        <w:t xml:space="preserve"> –</w:t>
      </w:r>
      <w:r w:rsidRPr="00096A22">
        <w:t xml:space="preserve"> with</w:t>
      </w:r>
      <w:r w:rsidR="00EE7250">
        <w:t xml:space="preserve"> </w:t>
      </w:r>
      <w:r w:rsidRPr="00096A22">
        <w:t>respect to information, culture</w:t>
      </w:r>
      <w:r w:rsidR="00EE7250">
        <w:t xml:space="preserve"> and</w:t>
      </w:r>
      <w:r w:rsidRPr="00096A22">
        <w:t xml:space="preserve"> trust</w:t>
      </w:r>
      <w:r w:rsidR="00EE7250">
        <w:t xml:space="preserve"> – </w:t>
      </w:r>
      <w:r w:rsidRPr="00096A22">
        <w:t>and</w:t>
      </w:r>
      <w:r w:rsidR="00EE7250">
        <w:t xml:space="preserve"> how</w:t>
      </w:r>
      <w:r w:rsidRPr="00096A22">
        <w:t xml:space="preserve"> local public administration capacity impact the prospects for an effective global partnership for reali</w:t>
      </w:r>
      <w:r w:rsidR="00BD2319">
        <w:t>s</w:t>
      </w:r>
      <w:r w:rsidRPr="00096A22">
        <w:t>ing Agenda 2030.</w:t>
      </w:r>
    </w:p>
    <w:p w14:paraId="05821A7B" w14:textId="75105D58" w:rsidR="008E2542" w:rsidRPr="00096A22" w:rsidRDefault="008E2542" w:rsidP="007344DD">
      <w:pPr>
        <w:pStyle w:val="ListBullet"/>
      </w:pPr>
      <w:r w:rsidRPr="00096A22">
        <w:t xml:space="preserve">Assess how perceptions of the </w:t>
      </w:r>
      <w:r w:rsidR="00014572" w:rsidRPr="00096A22">
        <w:t>quality of government</w:t>
      </w:r>
      <w:r w:rsidRPr="00096A22">
        <w:t xml:space="preserve"> in receiving countries affect support for foreign aid in donor countries. Are there significant feedback loops between levels of domestic institutional capacity and investment in international support for SDG achievement that can be exploited or need to be mitigated?</w:t>
      </w:r>
    </w:p>
    <w:p w14:paraId="6B3E8851" w14:textId="0FD9FC52" w:rsidR="008E2542" w:rsidRPr="00096A22" w:rsidRDefault="00862A2D" w:rsidP="007344DD">
      <w:pPr>
        <w:pStyle w:val="ListBullet"/>
      </w:pPr>
      <w:r>
        <w:t>Conduct</w:t>
      </w:r>
      <w:r w:rsidR="008E2542" w:rsidRPr="00096A22">
        <w:t xml:space="preserve"> more work explaining why countries at similar levels of economic development vary so significantly in fiscal capacity.</w:t>
      </w:r>
    </w:p>
    <w:p w14:paraId="59008F00" w14:textId="1052EBB4" w:rsidR="008E2542" w:rsidRPr="00096A22" w:rsidRDefault="009872FC" w:rsidP="007344DD">
      <w:pPr>
        <w:pStyle w:val="ListBullet"/>
      </w:pPr>
      <w:r>
        <w:t>A</w:t>
      </w:r>
      <w:r w:rsidR="00F22F48">
        <w:t>ssess</w:t>
      </w:r>
      <w:r>
        <w:t>, in general,</w:t>
      </w:r>
      <w:r w:rsidR="008E2542" w:rsidRPr="00096A22">
        <w:t xml:space="preserve"> how to better support taxation capacity in developing countries.</w:t>
      </w:r>
    </w:p>
    <w:p w14:paraId="057ACB58" w14:textId="585D50F0" w:rsidR="008E2542" w:rsidRPr="00096A22" w:rsidRDefault="009872FC" w:rsidP="007344DD">
      <w:pPr>
        <w:pStyle w:val="ListBullet"/>
      </w:pPr>
      <w:r>
        <w:t>A</w:t>
      </w:r>
      <w:r w:rsidR="00F22F48">
        <w:t>ssess</w:t>
      </w:r>
      <w:r>
        <w:t>, in particular,</w:t>
      </w:r>
      <w:r w:rsidR="008E2542" w:rsidRPr="00096A22">
        <w:t xml:space="preserve"> which policies have worked to improve public revenue generation capacity and redistribution in developing countries, and </w:t>
      </w:r>
      <w:r w:rsidR="00F22F48">
        <w:t>assess</w:t>
      </w:r>
      <w:r w:rsidR="008E2542" w:rsidRPr="00096A22">
        <w:t xml:space="preserve"> what political economy conditions have allowed some states to increase tax revenues.</w:t>
      </w:r>
    </w:p>
    <w:p w14:paraId="52D7A85D" w14:textId="0EF6F988" w:rsidR="008E2542" w:rsidRPr="00096A22" w:rsidRDefault="008E2542" w:rsidP="007344DD">
      <w:pPr>
        <w:pStyle w:val="ListBullet"/>
      </w:pPr>
      <w:r w:rsidRPr="00096A22">
        <w:t>Assess how to support local leadership for reform.</w:t>
      </w:r>
    </w:p>
    <w:p w14:paraId="3662D6DF" w14:textId="33CF90ED" w:rsidR="008E2542" w:rsidRPr="00096A22" w:rsidRDefault="008E2542" w:rsidP="007344DD">
      <w:pPr>
        <w:pStyle w:val="ListBullet"/>
      </w:pPr>
      <w:r w:rsidRPr="00096A22">
        <w:t>Identif</w:t>
      </w:r>
      <w:r w:rsidR="00F22F48">
        <w:t xml:space="preserve">y </w:t>
      </w:r>
      <w:r w:rsidRPr="00096A22">
        <w:t>reform programmes that better link taxation to state-building and governance objectives in developing countries.</w:t>
      </w:r>
    </w:p>
    <w:p w14:paraId="08D9EFBF" w14:textId="398CE2E4" w:rsidR="008E2542" w:rsidRPr="00096A22" w:rsidRDefault="006A2BF4" w:rsidP="007344DD">
      <w:pPr>
        <w:pStyle w:val="ListBullet"/>
      </w:pPr>
      <w:r>
        <w:t>B</w:t>
      </w:r>
      <w:r w:rsidR="008E2542" w:rsidRPr="00096A22">
        <w:t>etter understand the complexities in the relationships between development aid and building taxation capacity.</w:t>
      </w:r>
    </w:p>
    <w:p w14:paraId="2BCF37D9" w14:textId="62E1DCC1" w:rsidR="008E2542" w:rsidRPr="00096A22" w:rsidRDefault="006A2BF4" w:rsidP="007344DD">
      <w:pPr>
        <w:pStyle w:val="ListBullet"/>
      </w:pPr>
      <w:r>
        <w:t>B</w:t>
      </w:r>
      <w:r w:rsidR="008E2542" w:rsidRPr="00096A22">
        <w:t>etter understand the impacts of the international policy context on the advancement of national and local revenue generation capacity.</w:t>
      </w:r>
    </w:p>
    <w:p w14:paraId="479E41EB" w14:textId="36155004" w:rsidR="008E2542" w:rsidRPr="00096A22" w:rsidRDefault="008E2542" w:rsidP="007344DD">
      <w:pPr>
        <w:pStyle w:val="ListBullet"/>
      </w:pPr>
      <w:r w:rsidRPr="00096A22">
        <w:t>Assess how perceptions of the legitimacy of the tax</w:t>
      </w:r>
      <w:r w:rsidR="003348BA">
        <w:t xml:space="preserve"> </w:t>
      </w:r>
      <w:r w:rsidRPr="00096A22">
        <w:t>system in developing country contexts can be improved in conjunction with governance improvements (i.e. where such improvements occur).</w:t>
      </w:r>
    </w:p>
    <w:p w14:paraId="1D53B628" w14:textId="69485A32" w:rsidR="008E2542" w:rsidRPr="00096A22" w:rsidRDefault="008E2542" w:rsidP="007344DD">
      <w:pPr>
        <w:pStyle w:val="ListBullet"/>
      </w:pPr>
      <w:r w:rsidRPr="00096A22">
        <w:t>Investigat</w:t>
      </w:r>
      <w:r w:rsidR="003348BA">
        <w:t>e</w:t>
      </w:r>
      <w:r w:rsidRPr="00096A22">
        <w:t xml:space="preserve"> if there are ways other than increasing tax</w:t>
      </w:r>
      <w:r w:rsidR="003348BA">
        <w:t xml:space="preserve"> </w:t>
      </w:r>
      <w:r w:rsidRPr="00096A22">
        <w:t xml:space="preserve">collection capacity that can simultaneously increase government revenue and the </w:t>
      </w:r>
      <w:r w:rsidR="00A004F1" w:rsidRPr="00096A22">
        <w:t>quality of government</w:t>
      </w:r>
      <w:r w:rsidRPr="00096A22">
        <w:t>. Are there other revenue</w:t>
      </w:r>
      <w:r w:rsidR="003348BA">
        <w:t>-</w:t>
      </w:r>
      <w:r w:rsidRPr="00096A22">
        <w:t>related</w:t>
      </w:r>
      <w:r w:rsidR="003348BA">
        <w:t>,</w:t>
      </w:r>
      <w:r w:rsidRPr="00096A22">
        <w:t xml:space="preserve"> self-reinforcing drivers for SDG achievement?</w:t>
      </w:r>
    </w:p>
    <w:p w14:paraId="2F7FD195" w14:textId="17B92342" w:rsidR="008E2542" w:rsidRPr="00096A22" w:rsidRDefault="009D0EE6" w:rsidP="007344DD">
      <w:pPr>
        <w:pStyle w:val="ListBullet"/>
      </w:pPr>
      <w:r>
        <w:t>Conduct m</w:t>
      </w:r>
      <w:r w:rsidR="008E2542" w:rsidRPr="00096A22">
        <w:t>ore research on the impacts of increases in infrastructure spending on land</w:t>
      </w:r>
      <w:r w:rsidR="00DE657D">
        <w:t>-</w:t>
      </w:r>
      <w:r w:rsidR="008E2542" w:rsidRPr="00096A22">
        <w:t xml:space="preserve">use change in developing country contexts (i.e. changes as they relate to </w:t>
      </w:r>
      <w:r w:rsidR="00993A53">
        <w:t>greenhouse gas</w:t>
      </w:r>
      <w:r w:rsidR="008E2542" w:rsidRPr="00096A22">
        <w:t xml:space="preserve"> emissions).</w:t>
      </w:r>
    </w:p>
    <w:p w14:paraId="55980BAE" w14:textId="134F0767" w:rsidR="008E2542" w:rsidRPr="00096A22" w:rsidRDefault="009D0EE6" w:rsidP="007344DD">
      <w:pPr>
        <w:pStyle w:val="ListBullet"/>
      </w:pPr>
      <w:r>
        <w:t>Conduct more r</w:t>
      </w:r>
      <w:r w:rsidR="008E2542" w:rsidRPr="00096A22">
        <w:t>esearch that identif</w:t>
      </w:r>
      <w:r>
        <w:t>ies</w:t>
      </w:r>
      <w:r w:rsidR="008E2542" w:rsidRPr="00096A22">
        <w:t xml:space="preserve"> strategies for how to better manage non-tax-based revenue in developing country contexts</w:t>
      </w:r>
      <w:r>
        <w:t>. This</w:t>
      </w:r>
      <w:r w:rsidR="008E2542" w:rsidRPr="00096A22">
        <w:t xml:space="preserve"> </w:t>
      </w:r>
      <w:r>
        <w:t>appears</w:t>
      </w:r>
      <w:r w:rsidRPr="00096A22">
        <w:t xml:space="preserve"> </w:t>
      </w:r>
      <w:r w:rsidR="008E2542" w:rsidRPr="00096A22">
        <w:t>very important.</w:t>
      </w:r>
    </w:p>
    <w:p w14:paraId="6D166FE5" w14:textId="257E68EC" w:rsidR="00E32950" w:rsidRPr="00096A22" w:rsidRDefault="008E2542" w:rsidP="00690BEC">
      <w:pPr>
        <w:pStyle w:val="ListBullet"/>
      </w:pPr>
      <w:r w:rsidRPr="00096A22">
        <w:t xml:space="preserve">Research how the global partnership for SDG achievement should address the </w:t>
      </w:r>
      <w:r w:rsidR="009D0EE6">
        <w:t>“</w:t>
      </w:r>
      <w:r w:rsidRPr="00096A22">
        <w:t>political resource curse</w:t>
      </w:r>
      <w:r w:rsidR="009D0EE6">
        <w:t>”,</w:t>
      </w:r>
      <w:r w:rsidRPr="00096A22">
        <w:t xml:space="preserve"> given that countries importing, for example, oil from </w:t>
      </w:r>
      <w:r w:rsidRPr="00096A22">
        <w:lastRenderedPageBreak/>
        <w:t xml:space="preserve">countries with low </w:t>
      </w:r>
      <w:r w:rsidR="00A004F1" w:rsidRPr="00096A22">
        <w:t>quality of government</w:t>
      </w:r>
      <w:r w:rsidRPr="00096A22">
        <w:t xml:space="preserve"> may be directly implicated in obstacles to SDG achievement. Extending the empirical, normative, and policy research base are all important.</w:t>
      </w:r>
    </w:p>
    <w:p w14:paraId="10CF9915" w14:textId="77777777" w:rsidR="00E32950" w:rsidRPr="00096A22" w:rsidRDefault="00E32950" w:rsidP="00E32950">
      <w:pPr>
        <w:spacing w:after="0"/>
        <w:ind w:firstLine="360"/>
        <w:rPr>
          <w:u w:val="single"/>
        </w:rPr>
      </w:pPr>
      <w:r w:rsidRPr="00096A22">
        <w:rPr>
          <w:u w:val="single"/>
        </w:rPr>
        <w:t>Expert recommendations</w:t>
      </w:r>
    </w:p>
    <w:p w14:paraId="07307BE5" w14:textId="7D8BFB60" w:rsidR="00715E6B" w:rsidRPr="00096A22" w:rsidRDefault="00715E6B" w:rsidP="007344DD">
      <w:pPr>
        <w:pStyle w:val="ListBullet"/>
      </w:pPr>
      <w:r w:rsidRPr="00096A22">
        <w:t xml:space="preserve">There are multiple scales at which </w:t>
      </w:r>
      <w:r w:rsidR="00A004F1" w:rsidRPr="00096A22">
        <w:t>quality of government</w:t>
      </w:r>
      <w:r w:rsidRPr="00096A22">
        <w:t xml:space="preserve"> could be used as a lens of analysis for SDG implementation</w:t>
      </w:r>
      <w:r w:rsidR="000E593F">
        <w:t>,</w:t>
      </w:r>
      <w:r w:rsidRPr="00096A22">
        <w:t xml:space="preserve"> including at the city, sub-regional and even NGO level.</w:t>
      </w:r>
    </w:p>
    <w:p w14:paraId="6A0DBBAF" w14:textId="7B1145EE" w:rsidR="00715E6B" w:rsidRPr="00096A22" w:rsidRDefault="00715E6B" w:rsidP="007344DD">
      <w:pPr>
        <w:pStyle w:val="ListBullet"/>
      </w:pPr>
      <w:r w:rsidRPr="00096A22">
        <w:t xml:space="preserve">The assessment of </w:t>
      </w:r>
      <w:r w:rsidR="00A004F1" w:rsidRPr="00096A22">
        <w:t>quality of government</w:t>
      </w:r>
      <w:r w:rsidRPr="00096A22">
        <w:t xml:space="preserve"> for the SDGs requires advancements </w:t>
      </w:r>
      <w:r w:rsidR="000E593F">
        <w:t>i</w:t>
      </w:r>
      <w:r w:rsidRPr="00096A22">
        <w:t>n how we measure the quality of SDG implementation and achievement.</w:t>
      </w:r>
    </w:p>
    <w:p w14:paraId="2BE60AF5" w14:textId="77777777" w:rsidR="00715E6B" w:rsidRPr="00096A22" w:rsidRDefault="00715E6B" w:rsidP="007344DD">
      <w:pPr>
        <w:pStyle w:val="ListBullet"/>
      </w:pPr>
      <w:r w:rsidRPr="00096A22">
        <w:t xml:space="preserve">More research </w:t>
      </w:r>
      <w:r w:rsidR="005C3D7D">
        <w:t xml:space="preserve">should be </w:t>
      </w:r>
      <w:r w:rsidRPr="00096A22">
        <w:t>directed at better understanding existing action gaps for SDG achievement.</w:t>
      </w:r>
    </w:p>
    <w:p w14:paraId="333F1F70" w14:textId="60B4B1B2" w:rsidR="00715E6B" w:rsidRPr="00096A22" w:rsidRDefault="005C3D7D" w:rsidP="007344DD">
      <w:pPr>
        <w:pStyle w:val="ListBullet"/>
      </w:pPr>
      <w:r>
        <w:t>We n</w:t>
      </w:r>
      <w:r w:rsidR="00715E6B" w:rsidRPr="00096A22">
        <w:t>eed to understand and develop strategies to address low levels of general public engagement in the SDG agenda.</w:t>
      </w:r>
    </w:p>
    <w:p w14:paraId="17A5DBA4" w14:textId="3D8F23A2" w:rsidR="00715E6B" w:rsidRPr="00096A22" w:rsidRDefault="00715E6B" w:rsidP="007344DD">
      <w:pPr>
        <w:pStyle w:val="ListBullet"/>
      </w:pPr>
      <w:r w:rsidRPr="00096A22">
        <w:t>More strategic</w:t>
      </w:r>
      <w:r w:rsidR="005C3D7D">
        <w:t>-</w:t>
      </w:r>
      <w:r w:rsidRPr="00096A22">
        <w:t>oriented work</w:t>
      </w:r>
      <w:r w:rsidR="005C3D7D">
        <w:t xml:space="preserve"> is needed</w:t>
      </w:r>
      <w:r w:rsidRPr="00096A22">
        <w:t xml:space="preserve"> on how to actually bring about better </w:t>
      </w:r>
      <w:r w:rsidR="00A004F1" w:rsidRPr="00096A22">
        <w:t>quality of government</w:t>
      </w:r>
      <w:r w:rsidRPr="00096A22">
        <w:t xml:space="preserve"> and minimi</w:t>
      </w:r>
      <w:r w:rsidR="00FB01AA">
        <w:t>s</w:t>
      </w:r>
      <w:r w:rsidRPr="00096A22">
        <w:t>e corruption.</w:t>
      </w:r>
    </w:p>
    <w:p w14:paraId="50E7CEC9" w14:textId="1AABA6D2" w:rsidR="00715E6B" w:rsidRPr="00096A22" w:rsidRDefault="00715E6B" w:rsidP="007344DD">
      <w:pPr>
        <w:pStyle w:val="ListBullet"/>
      </w:pPr>
      <w:r w:rsidRPr="00096A22">
        <w:t xml:space="preserve">Research </w:t>
      </w:r>
      <w:r w:rsidR="005C3D7D">
        <w:t xml:space="preserve">is needed </w:t>
      </w:r>
      <w:r w:rsidRPr="00096A22">
        <w:t xml:space="preserve">on strategies for broadening the tax base in contexts where public services have been poor and trust in broad payment low (i.e. as an issue that </w:t>
      </w:r>
      <w:r w:rsidR="00601875">
        <w:t>exists</w:t>
      </w:r>
      <w:r w:rsidRPr="00096A22">
        <w:t xml:space="preserve"> prior to broadening the tax base for SDG achievement).</w:t>
      </w:r>
    </w:p>
    <w:p w14:paraId="67F4D54D" w14:textId="0C4A2D1F" w:rsidR="00715E6B" w:rsidRPr="00096A22" w:rsidRDefault="00601875" w:rsidP="007344DD">
      <w:pPr>
        <w:pStyle w:val="ListBullet"/>
      </w:pPr>
      <w:r>
        <w:t>There is a</w:t>
      </w:r>
      <w:r w:rsidR="00715E6B" w:rsidRPr="00096A22">
        <w:t xml:space="preserve"> need to better understand how international support and international cooperation can actually contribute to domestic </w:t>
      </w:r>
      <w:r w:rsidR="00A004F1" w:rsidRPr="00096A22">
        <w:t>quality of government</w:t>
      </w:r>
      <w:r w:rsidR="00715E6B" w:rsidRPr="00096A22">
        <w:t xml:space="preserve"> improvements in different regions.</w:t>
      </w:r>
    </w:p>
    <w:p w14:paraId="36A7D479" w14:textId="00023114" w:rsidR="00715E6B" w:rsidRPr="00096A22" w:rsidRDefault="00601875" w:rsidP="007344DD">
      <w:pPr>
        <w:pStyle w:val="ListBullet"/>
      </w:pPr>
      <w:r>
        <w:t>We need a</w:t>
      </w:r>
      <w:r w:rsidR="00715E6B" w:rsidRPr="00096A22">
        <w:t xml:space="preserve"> better understanding of Sweden’s own challenges with </w:t>
      </w:r>
      <w:r w:rsidR="00A004F1" w:rsidRPr="00096A22">
        <w:t>quality of government</w:t>
      </w:r>
      <w:r w:rsidR="00715E6B" w:rsidRPr="00096A22">
        <w:t xml:space="preserve"> and where </w:t>
      </w:r>
      <w:r>
        <w:t>the country</w:t>
      </w:r>
      <w:r w:rsidR="00715E6B" w:rsidRPr="00096A22">
        <w:t xml:space="preserve"> can best be viewed as a role model.</w:t>
      </w:r>
    </w:p>
    <w:p w14:paraId="5F8EF634" w14:textId="6F21770C" w:rsidR="00715E6B" w:rsidRPr="00096A22" w:rsidRDefault="00601875" w:rsidP="007344DD">
      <w:pPr>
        <w:pStyle w:val="ListBullet"/>
      </w:pPr>
      <w:r>
        <w:t>We need a</w:t>
      </w:r>
      <w:r w:rsidR="00715E6B" w:rsidRPr="00096A22">
        <w:t xml:space="preserve"> better understanding </w:t>
      </w:r>
      <w:r>
        <w:t xml:space="preserve">of </w:t>
      </w:r>
      <w:r w:rsidR="00715E6B" w:rsidRPr="00096A22">
        <w:t xml:space="preserve">the problem of a retreat in </w:t>
      </w:r>
      <w:r w:rsidR="00A004F1" w:rsidRPr="00096A22">
        <w:t>quality of government</w:t>
      </w:r>
      <w:r w:rsidR="00715E6B" w:rsidRPr="00096A22">
        <w:t xml:space="preserve"> in more developed countries.</w:t>
      </w:r>
    </w:p>
    <w:p w14:paraId="0A881757" w14:textId="71E0FCB2" w:rsidR="00715E6B" w:rsidRPr="00096A22" w:rsidRDefault="00715E6B" w:rsidP="007344DD">
      <w:pPr>
        <w:pStyle w:val="ListBullet"/>
      </w:pPr>
      <w:r w:rsidRPr="00096A22">
        <w:t xml:space="preserve">More sociological work on culture and how it relates to </w:t>
      </w:r>
      <w:r w:rsidR="00A004F1" w:rsidRPr="00096A22">
        <w:t>quality of government</w:t>
      </w:r>
      <w:r w:rsidRPr="00096A22">
        <w:t xml:space="preserve"> should</w:t>
      </w:r>
      <w:r w:rsidR="002858E0">
        <w:t xml:space="preserve"> be</w:t>
      </w:r>
      <w:r w:rsidRPr="00096A22">
        <w:t xml:space="preserve"> </w:t>
      </w:r>
      <w:r w:rsidR="00CA58DC">
        <w:t>prioriti</w:t>
      </w:r>
      <w:r w:rsidR="00FB01AA">
        <w:t>s</w:t>
      </w:r>
      <w:r w:rsidR="00CA58DC">
        <w:t>ed</w:t>
      </w:r>
      <w:r w:rsidRPr="00096A22">
        <w:t xml:space="preserve"> for the achievement of a societally transformative sustainability agenda.</w:t>
      </w:r>
    </w:p>
    <w:p w14:paraId="2ACB80A2" w14:textId="583F2116" w:rsidR="008E2542" w:rsidRPr="00690BEC" w:rsidRDefault="00715E6B" w:rsidP="008E2542">
      <w:pPr>
        <w:pStyle w:val="ListBullet"/>
      </w:pPr>
      <w:r w:rsidRPr="00096A22">
        <w:t xml:space="preserve">More thinking on how different dimensions of </w:t>
      </w:r>
      <w:r w:rsidR="00A004F1" w:rsidRPr="00096A22">
        <w:t>quality of government</w:t>
      </w:r>
      <w:r w:rsidRPr="00096A22">
        <w:t xml:space="preserve"> are related to the question of power seems important given the transformative nature of Agenda 2030.</w:t>
      </w:r>
      <w:bookmarkStart w:id="10" w:name="_Toc508746762"/>
    </w:p>
    <w:p w14:paraId="5C128903" w14:textId="77777777" w:rsidR="008E2542" w:rsidRPr="00096A22" w:rsidRDefault="002B3EF8" w:rsidP="00DD777C">
      <w:pPr>
        <w:pStyle w:val="Heading3"/>
        <w:numPr>
          <w:ilvl w:val="0"/>
          <w:numId w:val="0"/>
        </w:numPr>
        <w:spacing w:line="240" w:lineRule="auto"/>
        <w:ind w:left="720" w:hanging="720"/>
      </w:pPr>
      <w:bookmarkStart w:id="11" w:name="_Toc529789826"/>
      <w:r w:rsidRPr="00096A22">
        <w:t>Theme 2</w:t>
      </w:r>
      <w:r w:rsidR="00D830B6" w:rsidRPr="00096A22">
        <w:t xml:space="preserve">: </w:t>
      </w:r>
      <w:r w:rsidR="008E2542" w:rsidRPr="00096A22">
        <w:t>Policy coherence</w:t>
      </w:r>
      <w:bookmarkEnd w:id="10"/>
      <w:bookmarkEnd w:id="11"/>
    </w:p>
    <w:p w14:paraId="4E1F20D7" w14:textId="62BD7ACF" w:rsidR="00DD777C" w:rsidRPr="00096A22" w:rsidRDefault="00DD777C" w:rsidP="007344DD">
      <w:pPr>
        <w:pStyle w:val="ListBullet"/>
      </w:pPr>
      <w:r w:rsidRPr="00096A22">
        <w:t xml:space="preserve">In general, better understand interactions between SDG goals </w:t>
      </w:r>
      <w:r w:rsidR="00D9430A">
        <w:t>and</w:t>
      </w:r>
      <w:r w:rsidRPr="00096A22">
        <w:t xml:space="preserve"> targets and how policy can promote positive interactions and mitigate negative interactions. Part of the challenge is to improve or develop new analytical tools for characterising and quantifying interaction</w:t>
      </w:r>
      <w:r w:rsidR="00CD15D1">
        <w:t>s.</w:t>
      </w:r>
    </w:p>
    <w:p w14:paraId="1B3BAF66" w14:textId="125A9AB9" w:rsidR="00DD777C" w:rsidRPr="00096A22" w:rsidRDefault="00BF43EF" w:rsidP="007344DD">
      <w:pPr>
        <w:pStyle w:val="ListBullet"/>
      </w:pPr>
      <w:r>
        <w:t>Conduct</w:t>
      </w:r>
      <w:r w:rsidR="00DD777C" w:rsidRPr="00096A22">
        <w:t xml:space="preserve"> comparative research on policy coherence strategies and tools, to determine which work in different contexts and why.</w:t>
      </w:r>
    </w:p>
    <w:p w14:paraId="5BC4A6FB" w14:textId="23BC5860" w:rsidR="00DD777C" w:rsidRPr="00096A22" w:rsidRDefault="00BF43EF" w:rsidP="007344DD">
      <w:pPr>
        <w:pStyle w:val="ListBullet"/>
      </w:pPr>
      <w:r>
        <w:t>I</w:t>
      </w:r>
      <w:r w:rsidR="00DD777C" w:rsidRPr="00096A22">
        <w:t>dentify and analyse organi</w:t>
      </w:r>
      <w:r w:rsidR="00A93CCB">
        <w:t>s</w:t>
      </w:r>
      <w:r w:rsidR="00DD777C" w:rsidRPr="00096A22">
        <w:t xml:space="preserve">ational models that incentivise and properly resource efforts for policy coherence and increase the ability </w:t>
      </w:r>
      <w:r w:rsidR="00D9430A">
        <w:t>of</w:t>
      </w:r>
      <w:r w:rsidR="00DD777C" w:rsidRPr="00096A22">
        <w:t xml:space="preserve"> policy-makers to tackle complex problems.</w:t>
      </w:r>
    </w:p>
    <w:p w14:paraId="2246DD9A" w14:textId="0B97213C" w:rsidR="00DD777C" w:rsidRPr="00096A22" w:rsidRDefault="00DD777C" w:rsidP="007344DD">
      <w:pPr>
        <w:pStyle w:val="ListBullet"/>
      </w:pPr>
      <w:r w:rsidRPr="00096A22">
        <w:t>Research cases of policy incoherence, to identify sources of resistance to policy coherence.</w:t>
      </w:r>
    </w:p>
    <w:p w14:paraId="13B01E70" w14:textId="5E6BB5F5" w:rsidR="00DD777C" w:rsidRPr="00096A22" w:rsidRDefault="00FE6150" w:rsidP="007344DD">
      <w:pPr>
        <w:pStyle w:val="ListBullet"/>
      </w:pPr>
      <w:r>
        <w:t>L</w:t>
      </w:r>
      <w:r w:rsidR="00DD777C" w:rsidRPr="00096A22">
        <w:t>ook into the effects of policy coherence</w:t>
      </w:r>
      <w:r>
        <w:t>, using e</w:t>
      </w:r>
      <w:r w:rsidRPr="00096A22">
        <w:t>mpirical research</w:t>
      </w:r>
      <w:r>
        <w:t>.</w:t>
      </w:r>
    </w:p>
    <w:p w14:paraId="3134873A" w14:textId="7233394C" w:rsidR="00E32950" w:rsidRPr="00096A22" w:rsidRDefault="00BF43EF" w:rsidP="007344DD">
      <w:pPr>
        <w:pStyle w:val="ListBullet"/>
      </w:pPr>
      <w:r>
        <w:t>M</w:t>
      </w:r>
      <w:r w:rsidR="00DD777C" w:rsidRPr="00096A22">
        <w:t>easur</w:t>
      </w:r>
      <w:r>
        <w:t>e</w:t>
      </w:r>
      <w:r w:rsidR="00DD777C" w:rsidRPr="00096A22">
        <w:t xml:space="preserve"> and follow-up o</w:t>
      </w:r>
      <w:r w:rsidR="00403E96">
        <w:t>n</w:t>
      </w:r>
      <w:r w:rsidR="00DD777C" w:rsidRPr="00096A22">
        <w:t xml:space="preserve"> coherence and its impacts</w:t>
      </w:r>
      <w:r w:rsidR="00403E96">
        <w:t>.</w:t>
      </w:r>
    </w:p>
    <w:p w14:paraId="473483A0" w14:textId="0E8816BB" w:rsidR="00E32950" w:rsidRPr="007344DD" w:rsidRDefault="00E32950" w:rsidP="007344DD">
      <w:pPr>
        <w:keepNext/>
        <w:rPr>
          <w:u w:val="single"/>
        </w:rPr>
      </w:pPr>
      <w:r w:rsidRPr="007344DD">
        <w:rPr>
          <w:u w:val="single"/>
        </w:rPr>
        <w:lastRenderedPageBreak/>
        <w:t>Expert recommendations</w:t>
      </w:r>
      <w:r w:rsidR="007719EF" w:rsidRPr="007719EF">
        <w:rPr>
          <w:u w:val="single"/>
        </w:rPr>
        <w:t xml:space="preserve"> proposed during the workshop on SDG 17</w:t>
      </w:r>
    </w:p>
    <w:p w14:paraId="44AA7CDF" w14:textId="047255F2" w:rsidR="007C6D2F" w:rsidRPr="00A004F1" w:rsidRDefault="007C6D2F" w:rsidP="007344DD">
      <w:pPr>
        <w:pStyle w:val="ListBullet"/>
      </w:pPr>
      <w:r w:rsidRPr="00A004F1">
        <w:t>Work on how existing institutional arrangements for governance</w:t>
      </w:r>
      <w:r w:rsidR="00DC26D4" w:rsidRPr="00A004F1">
        <w:t xml:space="preserve"> – such as the W</w:t>
      </w:r>
      <w:r w:rsidR="00993A53">
        <w:t xml:space="preserve">orld </w:t>
      </w:r>
      <w:r w:rsidR="00DC26D4" w:rsidRPr="00A004F1">
        <w:t>T</w:t>
      </w:r>
      <w:r w:rsidR="00993A53">
        <w:t xml:space="preserve">rade </w:t>
      </w:r>
      <w:r w:rsidR="00DC26D4" w:rsidRPr="00A004F1">
        <w:t>O</w:t>
      </w:r>
      <w:r w:rsidR="00993A53">
        <w:t>rganization</w:t>
      </w:r>
      <w:r w:rsidR="00DC26D4" w:rsidRPr="00A004F1">
        <w:t xml:space="preserve"> and the Paris Agreement –</w:t>
      </w:r>
      <w:r w:rsidRPr="00A004F1">
        <w:t xml:space="preserve"> interact</w:t>
      </w:r>
      <w:r w:rsidR="00DC26D4" w:rsidRPr="00A004F1">
        <w:t xml:space="preserve"> </w:t>
      </w:r>
      <w:r w:rsidRPr="00A004F1">
        <w:t>with the SDG agenda. Assess</w:t>
      </w:r>
      <w:r w:rsidR="00DC26D4" w:rsidRPr="00A004F1">
        <w:t xml:space="preserve"> </w:t>
      </w:r>
      <w:r w:rsidRPr="00A004F1">
        <w:t xml:space="preserve">how the legal commitments of many international regimes affect </w:t>
      </w:r>
      <w:r w:rsidR="00DC26D4" w:rsidRPr="00A004F1">
        <w:t xml:space="preserve">the </w:t>
      </w:r>
      <w:r w:rsidRPr="00A004F1">
        <w:t>advancement of Agenda 2030 given its voluntary structure.</w:t>
      </w:r>
    </w:p>
    <w:p w14:paraId="5B85587E" w14:textId="6B4E3729" w:rsidR="007C6D2F" w:rsidRPr="00A004F1" w:rsidRDefault="00DC26D4" w:rsidP="007344DD">
      <w:pPr>
        <w:pStyle w:val="ListBullet"/>
      </w:pPr>
      <w:r w:rsidRPr="00A004F1">
        <w:t>U</w:t>
      </w:r>
      <w:r w:rsidR="007C6D2F" w:rsidRPr="00A004F1">
        <w:t>nderstand policy coherence and SDG interactions at different scales, especially at the global level and sub-national level.</w:t>
      </w:r>
    </w:p>
    <w:p w14:paraId="25A0BFAE" w14:textId="31201717" w:rsidR="007C6D2F" w:rsidRPr="00A004F1" w:rsidRDefault="00DC26D4" w:rsidP="007344DD">
      <w:pPr>
        <w:pStyle w:val="ListBullet"/>
      </w:pPr>
      <w:r w:rsidRPr="00A004F1">
        <w:t>B</w:t>
      </w:r>
      <w:r w:rsidR="007C6D2F" w:rsidRPr="00A004F1">
        <w:t>etter understand how civil society and, especially, local government can cooperate for the advancement of the SDGs.</w:t>
      </w:r>
    </w:p>
    <w:p w14:paraId="22E62AE3" w14:textId="44F6D78C" w:rsidR="007C6D2F" w:rsidRPr="00A004F1" w:rsidRDefault="007C6D2F" w:rsidP="007344DD">
      <w:pPr>
        <w:pStyle w:val="ListBullet"/>
      </w:pPr>
      <w:r w:rsidRPr="00A004F1">
        <w:t>Understand interactions between successfully broadening the tax base in developing countries and impacts on F</w:t>
      </w:r>
      <w:r w:rsidR="00494DE9" w:rsidRPr="00A004F1">
        <w:t xml:space="preserve">oreign </w:t>
      </w:r>
      <w:r w:rsidRPr="00A004F1">
        <w:t>D</w:t>
      </w:r>
      <w:r w:rsidR="00494DE9" w:rsidRPr="00A004F1">
        <w:t xml:space="preserve">irect </w:t>
      </w:r>
      <w:r w:rsidRPr="00A004F1">
        <w:t>I</w:t>
      </w:r>
      <w:r w:rsidR="00494DE9" w:rsidRPr="00A004F1">
        <w:t>nvestment (FDI)</w:t>
      </w:r>
      <w:r w:rsidRPr="00A004F1">
        <w:t>, tech transfer and remittances.</w:t>
      </w:r>
    </w:p>
    <w:p w14:paraId="7308148A" w14:textId="77777777" w:rsidR="007C6D2F" w:rsidRPr="00A004F1" w:rsidRDefault="007C6D2F" w:rsidP="007344DD">
      <w:pPr>
        <w:pStyle w:val="ListBullet"/>
      </w:pPr>
      <w:r w:rsidRPr="00A004F1">
        <w:t>The development of models and tools for achieving policy coherence is an important research task.</w:t>
      </w:r>
    </w:p>
    <w:p w14:paraId="1808D651" w14:textId="68877110" w:rsidR="007C6D2F" w:rsidRPr="00A004F1" w:rsidRDefault="00494DE9" w:rsidP="007344DD">
      <w:pPr>
        <w:pStyle w:val="ListBullet"/>
      </w:pPr>
      <w:r w:rsidRPr="00A004F1">
        <w:t>G</w:t>
      </w:r>
      <w:r w:rsidR="007C6D2F" w:rsidRPr="00A004F1">
        <w:t>o beyond characterising SDG interactions to understand causality between SDG targets.</w:t>
      </w:r>
    </w:p>
    <w:p w14:paraId="26128F5C" w14:textId="65BAD3C0" w:rsidR="007C6D2F" w:rsidRPr="00A004F1" w:rsidRDefault="002529BB" w:rsidP="007344DD">
      <w:pPr>
        <w:pStyle w:val="ListBullet"/>
      </w:pPr>
      <w:r w:rsidRPr="00A004F1">
        <w:t>T</w:t>
      </w:r>
      <w:r w:rsidR="007C6D2F" w:rsidRPr="00A004F1">
        <w:t>hink</w:t>
      </w:r>
      <w:r w:rsidRPr="00A004F1">
        <w:t xml:space="preserve"> deeper</w:t>
      </w:r>
      <w:r w:rsidR="007C6D2F" w:rsidRPr="00A004F1">
        <w:t xml:space="preserve"> about trade-offs. Can we really address poverty and achieve sustainable consumption at the same time? Can we really accelerate global trade and achieve environmental goals?</w:t>
      </w:r>
    </w:p>
    <w:p w14:paraId="2D586556" w14:textId="04128F26" w:rsidR="00DD777C" w:rsidRPr="00096A22" w:rsidRDefault="002529BB" w:rsidP="007344DD">
      <w:pPr>
        <w:pStyle w:val="ListBullet"/>
      </w:pPr>
      <w:r w:rsidRPr="00A004F1">
        <w:t>Conduct c</w:t>
      </w:r>
      <w:r w:rsidR="007C6D2F" w:rsidRPr="00A004F1">
        <w:t>ase studies assessing trade-offs between effectiveness in achieving SDG targets versus perceptions of legitimacy in the means of achievement.</w:t>
      </w:r>
    </w:p>
    <w:p w14:paraId="33346D1C" w14:textId="77777777" w:rsidR="008E2542" w:rsidRPr="00096A22" w:rsidRDefault="00D830B6" w:rsidP="00925760">
      <w:pPr>
        <w:pStyle w:val="Heading3"/>
        <w:numPr>
          <w:ilvl w:val="0"/>
          <w:numId w:val="0"/>
        </w:numPr>
        <w:ind w:left="720" w:hanging="720"/>
      </w:pPr>
      <w:bookmarkStart w:id="12" w:name="_Toc508746763"/>
      <w:bookmarkStart w:id="13" w:name="_Toc529789827"/>
      <w:r w:rsidRPr="00096A22">
        <w:t>Theme</w:t>
      </w:r>
      <w:r w:rsidR="002B3EF8" w:rsidRPr="00096A22">
        <w:t xml:space="preserve"> 3</w:t>
      </w:r>
      <w:r w:rsidRPr="00096A22">
        <w:t xml:space="preserve">: </w:t>
      </w:r>
      <w:r w:rsidR="008E2542" w:rsidRPr="00096A22">
        <w:t>Technology access and capacity</w:t>
      </w:r>
      <w:bookmarkEnd w:id="12"/>
      <w:bookmarkEnd w:id="13"/>
    </w:p>
    <w:p w14:paraId="7D4A8EFB" w14:textId="41A1E292" w:rsidR="008E2542" w:rsidRPr="0006371E" w:rsidRDefault="008E2542" w:rsidP="007344DD">
      <w:pPr>
        <w:pStyle w:val="ListBullet"/>
      </w:pPr>
      <w:r w:rsidRPr="00560B94">
        <w:t xml:space="preserve">In general, </w:t>
      </w:r>
      <w:r w:rsidR="00B926DF" w:rsidRPr="00560B94">
        <w:t>identify</w:t>
      </w:r>
      <w:r w:rsidRPr="00560B94">
        <w:t xml:space="preserve"> the most important channels of technology transfer to developing and least developed c</w:t>
      </w:r>
      <w:r w:rsidRPr="00AA38F3">
        <w:t>ountries</w:t>
      </w:r>
      <w:r w:rsidR="00BF43EF" w:rsidRPr="00AA38F3">
        <w:t>,</w:t>
      </w:r>
      <w:r w:rsidRPr="0006371E">
        <w:t xml:space="preserve"> combined with studies assessing these channels in a wide variety of national and regional contexts.</w:t>
      </w:r>
    </w:p>
    <w:p w14:paraId="305C1BC9" w14:textId="49B57DE4" w:rsidR="008E2542" w:rsidRPr="003C06B8" w:rsidRDefault="00B926DF" w:rsidP="007344DD">
      <w:pPr>
        <w:pStyle w:val="ListBullet"/>
      </w:pPr>
      <w:r w:rsidRPr="0006371E">
        <w:t>Conduct</w:t>
      </w:r>
      <w:r w:rsidR="008E2542" w:rsidRPr="0006371E">
        <w:t xml:space="preserve"> more research on the type of local technological innovation capacity</w:t>
      </w:r>
      <w:r w:rsidR="00BF43EF" w:rsidRPr="006535FF">
        <w:t xml:space="preserve"> which would most benefit</w:t>
      </w:r>
      <w:r w:rsidR="008E2542" w:rsidRPr="006535FF">
        <w:t xml:space="preserve"> </w:t>
      </w:r>
      <w:r w:rsidR="00E126BB">
        <w:t>l</w:t>
      </w:r>
      <w:r w:rsidR="00BF43EF" w:rsidRPr="006535FF">
        <w:t xml:space="preserve">east </w:t>
      </w:r>
      <w:r w:rsidR="00E126BB">
        <w:t>d</w:t>
      </w:r>
      <w:r w:rsidR="00BF43EF" w:rsidRPr="001A25E1">
        <w:t xml:space="preserve">eveloped </w:t>
      </w:r>
      <w:r w:rsidR="00E126BB">
        <w:t>c</w:t>
      </w:r>
      <w:r w:rsidR="00BF43EF" w:rsidRPr="00B95C31">
        <w:t>ountrie</w:t>
      </w:r>
      <w:r w:rsidR="008E2542" w:rsidRPr="003C06B8">
        <w:t>s.</w:t>
      </w:r>
    </w:p>
    <w:p w14:paraId="58A2B760" w14:textId="5E476973" w:rsidR="008E2542" w:rsidRPr="003C06B8" w:rsidRDefault="00B926DF" w:rsidP="007344DD">
      <w:pPr>
        <w:pStyle w:val="ListBullet"/>
      </w:pPr>
      <w:r w:rsidRPr="003C06B8">
        <w:t>B</w:t>
      </w:r>
      <w:r w:rsidR="008E2542" w:rsidRPr="003C06B8">
        <w:t>etter understand how to match levels of technological complexity with local capacity to absorb technology in order to accelerate productive technological transfer.</w:t>
      </w:r>
    </w:p>
    <w:p w14:paraId="7561B10B" w14:textId="02F4637F" w:rsidR="008E2542" w:rsidRPr="003C06B8" w:rsidRDefault="00B926DF" w:rsidP="007344DD">
      <w:pPr>
        <w:pStyle w:val="ListBullet"/>
      </w:pPr>
      <w:r w:rsidRPr="003C06B8">
        <w:t>Conduct m</w:t>
      </w:r>
      <w:r w:rsidR="008E2542" w:rsidRPr="003C06B8">
        <w:t xml:space="preserve">ore general research on how to improve absorptive capacity in </w:t>
      </w:r>
      <w:r w:rsidR="00993A53">
        <w:t>least developed countries</w:t>
      </w:r>
      <w:r w:rsidR="008E2542" w:rsidRPr="003C06B8">
        <w:t xml:space="preserve"> and on the combined development of technological, financing, and business solutions that are well suited to uptake in LDC contexts.</w:t>
      </w:r>
    </w:p>
    <w:p w14:paraId="3FD1E4AA" w14:textId="255176BC" w:rsidR="008E2542" w:rsidRPr="003C06B8" w:rsidRDefault="00363FC7" w:rsidP="007344DD">
      <w:pPr>
        <w:pStyle w:val="ListBullet"/>
      </w:pPr>
      <w:r w:rsidRPr="003C06B8">
        <w:t>Provide more descriptive empirical evidence on the “where” and “what” of existing climate financing flows, g</w:t>
      </w:r>
      <w:r w:rsidR="008E2542" w:rsidRPr="003C06B8">
        <w:t xml:space="preserve">iven </w:t>
      </w:r>
      <w:r w:rsidRPr="003C06B8">
        <w:t>the</w:t>
      </w:r>
      <w:r w:rsidR="008E2542" w:rsidRPr="003C06B8">
        <w:t xml:space="preserve"> important role </w:t>
      </w:r>
      <w:r w:rsidRPr="003C06B8">
        <w:t xml:space="preserve">of </w:t>
      </w:r>
      <w:r w:rsidR="008E2542" w:rsidRPr="003C06B8">
        <w:t xml:space="preserve">official forms of finance </w:t>
      </w:r>
      <w:r w:rsidRPr="003C06B8">
        <w:t>in</w:t>
      </w:r>
      <w:r w:rsidR="008E2542" w:rsidRPr="003C06B8">
        <w:t xml:space="preserve"> support</w:t>
      </w:r>
      <w:r w:rsidRPr="003C06B8">
        <w:t>ing</w:t>
      </w:r>
      <w:r w:rsidR="008E2542" w:rsidRPr="003C06B8">
        <w:t xml:space="preserve"> technological transfer</w:t>
      </w:r>
      <w:r w:rsidRPr="003C06B8">
        <w:t>.</w:t>
      </w:r>
      <w:r w:rsidR="008E2542" w:rsidRPr="003C06B8">
        <w:t xml:space="preserve"> How significant is technological transfer within existing official climate finance? Is there a need to improve the ability of official international finances to catalyse technological transfer?</w:t>
      </w:r>
      <w:r w:rsidR="004A7123" w:rsidRPr="003C06B8">
        <w:t xml:space="preserve"> </w:t>
      </w:r>
      <w:r w:rsidR="008E2542" w:rsidRPr="003C06B8">
        <w:t>This work should be combined with a better understanding of context</w:t>
      </w:r>
      <w:r w:rsidR="00B926DF" w:rsidRPr="003C06B8">
        <w:t>-</w:t>
      </w:r>
      <w:r w:rsidR="008E2542" w:rsidRPr="003C06B8">
        <w:t>specific challenges in individual LDCs to access official forms of climate finance.</w:t>
      </w:r>
    </w:p>
    <w:p w14:paraId="723E165C" w14:textId="3F41429B" w:rsidR="008E2542" w:rsidRPr="003C06B8" w:rsidRDefault="00363FC7" w:rsidP="007344DD">
      <w:pPr>
        <w:pStyle w:val="ListBullet"/>
      </w:pPr>
      <w:r w:rsidRPr="003C06B8">
        <w:t>B</w:t>
      </w:r>
      <w:r w:rsidR="008E2542" w:rsidRPr="003C06B8">
        <w:t>etter understand private investor perspectives on blended finance schemes, in particular expectations on risk/return and the information needed to assess track</w:t>
      </w:r>
      <w:r w:rsidRPr="003C06B8">
        <w:t xml:space="preserve"> </w:t>
      </w:r>
      <w:r w:rsidR="008E2542" w:rsidRPr="003C06B8">
        <w:t>records. There is also more research needed on the performance of blended finance schemes in general and with respect to facilitating technological transfer specifically. What instruments work in what contexts and why?</w:t>
      </w:r>
    </w:p>
    <w:p w14:paraId="52ECC7FF" w14:textId="77777777" w:rsidR="008E2542" w:rsidRPr="003C06B8" w:rsidRDefault="008E2542" w:rsidP="007344DD">
      <w:pPr>
        <w:pStyle w:val="ListBullet"/>
      </w:pPr>
      <w:r w:rsidRPr="003C06B8">
        <w:t xml:space="preserve">Because rapid diffusion of technologies is heavily dependent on effective policy incentives, more research is needed on how to design instruments such as emissions </w:t>
      </w:r>
      <w:r w:rsidRPr="003C06B8">
        <w:lastRenderedPageBreak/>
        <w:t>markets so that we avoid previous shortfalls and effectively coordinate policies across jurisdictions.</w:t>
      </w:r>
    </w:p>
    <w:p w14:paraId="60C17626" w14:textId="369F39F7" w:rsidR="008E2542" w:rsidRPr="003C06B8" w:rsidRDefault="0038247D" w:rsidP="007344DD">
      <w:pPr>
        <w:pStyle w:val="ListBullet"/>
      </w:pPr>
      <w:r w:rsidRPr="003C06B8">
        <w:t>Conduct m</w:t>
      </w:r>
      <w:r w:rsidR="008E2542" w:rsidRPr="003C06B8">
        <w:t xml:space="preserve">ore research to understand </w:t>
      </w:r>
      <w:r w:rsidRPr="003C06B8">
        <w:t>how to best design</w:t>
      </w:r>
      <w:r w:rsidR="008E2542" w:rsidRPr="003C06B8">
        <w:t xml:space="preserve"> intellectual property regimes</w:t>
      </w:r>
      <w:r w:rsidR="00E860A2">
        <w:t xml:space="preserve"> </w:t>
      </w:r>
      <w:r w:rsidR="008E2542" w:rsidRPr="003C06B8">
        <w:t>to help moderate technology transfer obstacles in LDCs.</w:t>
      </w:r>
    </w:p>
    <w:p w14:paraId="78DE7AF3" w14:textId="467DA967" w:rsidR="008E2542" w:rsidRPr="003C06B8" w:rsidRDefault="008E2542" w:rsidP="007344DD">
      <w:pPr>
        <w:pStyle w:val="ListBullet"/>
      </w:pPr>
      <w:r w:rsidRPr="003C06B8">
        <w:t>Existing research suggests the need for mapping and disaggregating the technology needs for achieving the SDGs sector by sector.</w:t>
      </w:r>
      <w:r w:rsidR="004A7123" w:rsidRPr="003C06B8">
        <w:t xml:space="preserve"> </w:t>
      </w:r>
      <w:r w:rsidRPr="003C06B8">
        <w:t>In particular, there is a need for more sector</w:t>
      </w:r>
      <w:r w:rsidR="00D11D9A" w:rsidRPr="003C06B8">
        <w:t>-</w:t>
      </w:r>
      <w:r w:rsidRPr="003C06B8">
        <w:t xml:space="preserve">specific analysis of the potential impacts of </w:t>
      </w:r>
      <w:r w:rsidR="00993A53">
        <w:t>intellectual property rights</w:t>
      </w:r>
      <w:r w:rsidRPr="003C06B8">
        <w:t xml:space="preserve"> on SDG achievement</w:t>
      </w:r>
      <w:r w:rsidR="00D11D9A" w:rsidRPr="003C06B8">
        <w:t>,</w:t>
      </w:r>
      <w:r w:rsidRPr="003C06B8">
        <w:t xml:space="preserve"> given variation in the extent to which IPR shapes incentives in different sectors. In addition to being sector</w:t>
      </w:r>
      <w:r w:rsidR="00D45F0D" w:rsidRPr="003C06B8">
        <w:t>-</w:t>
      </w:r>
      <w:r w:rsidRPr="003C06B8">
        <w:t xml:space="preserve">specific, these analyses should also be disaggregated between levels of development in </w:t>
      </w:r>
      <w:r w:rsidR="00D45F0D" w:rsidRPr="003C06B8">
        <w:t>“</w:t>
      </w:r>
      <w:r w:rsidRPr="003C06B8">
        <w:t>receiving</w:t>
      </w:r>
      <w:r w:rsidR="00D45F0D" w:rsidRPr="003C06B8">
        <w:t>”</w:t>
      </w:r>
      <w:r w:rsidRPr="003C06B8">
        <w:t xml:space="preserve"> countries.</w:t>
      </w:r>
    </w:p>
    <w:p w14:paraId="0A1FB2BE" w14:textId="77777777" w:rsidR="008E2542" w:rsidRPr="003C06B8" w:rsidRDefault="008E2542" w:rsidP="007344DD">
      <w:pPr>
        <w:pStyle w:val="ListBullet"/>
      </w:pPr>
      <w:r w:rsidRPr="003C06B8">
        <w:t>Recent literature reviews suggest that empirical results on the impact of IPRs in developing countries should be treated with caution due to data gaps, limited timeframes of existing studies, and insufficient indicators/proxies for measuring access to technology. More research is needed to address each of these weaknesses.</w:t>
      </w:r>
    </w:p>
    <w:p w14:paraId="7D18DD3D" w14:textId="5DD8B274" w:rsidR="008E2542" w:rsidRPr="003C06B8" w:rsidRDefault="008E2542" w:rsidP="007344DD">
      <w:pPr>
        <w:pStyle w:val="ListBullet"/>
      </w:pPr>
      <w:r w:rsidRPr="003C06B8">
        <w:t>Existing work suggests that there is a research gap on the impacts of IPRs on access to adaptation-oriented technologies.</w:t>
      </w:r>
    </w:p>
    <w:p w14:paraId="3DEC7288" w14:textId="64A3BE3E" w:rsidR="008E2542" w:rsidRPr="003C06B8" w:rsidRDefault="00D45F0D" w:rsidP="007344DD">
      <w:pPr>
        <w:pStyle w:val="ListBullet"/>
      </w:pPr>
      <w:r w:rsidRPr="003C06B8">
        <w:t>B</w:t>
      </w:r>
      <w:r w:rsidR="008E2542" w:rsidRPr="003C06B8">
        <w:t>etter understand what motivates firms to enter into technology transfer partnerships in developing and least developed countries.</w:t>
      </w:r>
    </w:p>
    <w:p w14:paraId="23919E5A" w14:textId="7065B57D" w:rsidR="00E32950" w:rsidRPr="00096A22" w:rsidRDefault="00D45F0D" w:rsidP="007344DD">
      <w:pPr>
        <w:pStyle w:val="ListBullet"/>
      </w:pPr>
      <w:r w:rsidRPr="003C06B8">
        <w:t>Conduct m</w:t>
      </w:r>
      <w:r w:rsidR="008E2542" w:rsidRPr="003C06B8">
        <w:t>ore work on the extent to which supply-side incentives for low</w:t>
      </w:r>
      <w:r w:rsidRPr="003C06B8">
        <w:t>-</w:t>
      </w:r>
      <w:r w:rsidR="008E2542" w:rsidRPr="003C06B8">
        <w:t>carbon technologies in developing countries succeed in also broadening domestic productive and innovation capacity.</w:t>
      </w:r>
    </w:p>
    <w:p w14:paraId="2474A469" w14:textId="77777777" w:rsidR="00E32950" w:rsidRPr="00096A22" w:rsidRDefault="00E32950" w:rsidP="00E32950">
      <w:pPr>
        <w:spacing w:after="0" w:line="240" w:lineRule="auto"/>
        <w:rPr>
          <w:u w:val="single"/>
        </w:rPr>
      </w:pPr>
      <w:r w:rsidRPr="00096A22">
        <w:rPr>
          <w:u w:val="single"/>
        </w:rPr>
        <w:t>Expert recommendations</w:t>
      </w:r>
    </w:p>
    <w:p w14:paraId="29D40F16" w14:textId="0A29248C" w:rsidR="004E20B2" w:rsidRPr="00096A22" w:rsidRDefault="004E20B2" w:rsidP="007344DD">
      <w:pPr>
        <w:pStyle w:val="ListBullet"/>
      </w:pPr>
      <w:r w:rsidRPr="00096A22">
        <w:t xml:space="preserve">Identify ways to address an IPR regime that is too complex and centralised for developing countries and smaller private actors, </w:t>
      </w:r>
      <w:r w:rsidR="004A020A">
        <w:t>and thus</w:t>
      </w:r>
      <w:r w:rsidR="004A020A" w:rsidRPr="00096A22">
        <w:t xml:space="preserve"> </w:t>
      </w:r>
      <w:r w:rsidRPr="00096A22">
        <w:t>confers advantages to powerful states and companies.</w:t>
      </w:r>
    </w:p>
    <w:p w14:paraId="475388A6" w14:textId="676BB5AC" w:rsidR="004E20B2" w:rsidRPr="00096A22" w:rsidRDefault="004E20B2" w:rsidP="007344DD">
      <w:pPr>
        <w:pStyle w:val="ListBullet"/>
      </w:pPr>
      <w:r w:rsidRPr="00096A22">
        <w:t>Assess how the increasing trend of bilateral and smaller multilateral trade regimes (i.e. as opposed to WTO governance) is affecting developing countries’ access to technology.</w:t>
      </w:r>
    </w:p>
    <w:p w14:paraId="6AAE10FC" w14:textId="2A2564C6" w:rsidR="004E20B2" w:rsidRPr="00096A22" w:rsidRDefault="00ED6B79" w:rsidP="007344DD">
      <w:pPr>
        <w:pStyle w:val="ListBullet"/>
      </w:pPr>
      <w:r>
        <w:t>Put m</w:t>
      </w:r>
      <w:r w:rsidR="004E20B2" w:rsidRPr="00096A22">
        <w:t>ore focus on local technological innovation and development than is currently expressed within SDG 17.</w:t>
      </w:r>
    </w:p>
    <w:p w14:paraId="32CE74BB" w14:textId="101063A0" w:rsidR="004E20B2" w:rsidRPr="00096A22" w:rsidRDefault="00ED6B79" w:rsidP="007344DD">
      <w:pPr>
        <w:pStyle w:val="ListBullet"/>
      </w:pPr>
      <w:r>
        <w:t>Conduct</w:t>
      </w:r>
      <w:r w:rsidR="004E20B2" w:rsidRPr="00096A22">
        <w:t xml:space="preserve"> behaviour and choice research to better understand local adoption of technology. </w:t>
      </w:r>
      <w:r w:rsidR="004274ED">
        <w:t>Conduct m</w:t>
      </w:r>
      <w:r w:rsidR="004E20B2" w:rsidRPr="00096A22">
        <w:t>ore work explaining why technologies with good prospects for local adoption are not readily absorbed.</w:t>
      </w:r>
    </w:p>
    <w:p w14:paraId="637C0FE3" w14:textId="4FFBB00C" w:rsidR="008E2542" w:rsidRPr="00096A22" w:rsidRDefault="004274ED" w:rsidP="007344DD">
      <w:pPr>
        <w:pStyle w:val="ListBullet"/>
      </w:pPr>
      <w:r>
        <w:t>Conduct m</w:t>
      </w:r>
      <w:r w:rsidR="004E20B2" w:rsidRPr="00096A22">
        <w:t>ore basic evaluative research addressing the extent to which technology transfer does in fact advance SDG goals.</w:t>
      </w:r>
    </w:p>
    <w:p w14:paraId="297A6A68" w14:textId="31E410F6" w:rsidR="008E2542" w:rsidRPr="00096A22" w:rsidRDefault="002B3EF8" w:rsidP="00925760">
      <w:pPr>
        <w:pStyle w:val="Heading3"/>
        <w:numPr>
          <w:ilvl w:val="0"/>
          <w:numId w:val="0"/>
        </w:numPr>
        <w:ind w:left="720" w:hanging="720"/>
      </w:pPr>
      <w:bookmarkStart w:id="14" w:name="_Toc508746764"/>
      <w:bookmarkStart w:id="15" w:name="_Toc529789828"/>
      <w:r w:rsidRPr="00096A22">
        <w:t>Theme 4</w:t>
      </w:r>
      <w:r w:rsidR="00D830B6" w:rsidRPr="00096A22">
        <w:t xml:space="preserve">: </w:t>
      </w:r>
      <w:r w:rsidR="00336929">
        <w:t>m</w:t>
      </w:r>
      <w:r w:rsidR="008E2542" w:rsidRPr="00096A22">
        <w:t>ulti-stakeholder partnerships</w:t>
      </w:r>
      <w:bookmarkEnd w:id="14"/>
      <w:bookmarkEnd w:id="15"/>
    </w:p>
    <w:p w14:paraId="5850E3AF" w14:textId="059D8F4F" w:rsidR="008E2542" w:rsidRPr="00096A22" w:rsidRDefault="008E2542" w:rsidP="007344DD">
      <w:pPr>
        <w:pStyle w:val="ListBullet"/>
      </w:pPr>
      <w:r w:rsidRPr="00096A22">
        <w:t>Existing research suggests that there is a lack of a knowledge base for evaluating the effectiveness of multi-stakeholder partnerships (MSPs) in advancing the transition to sustainable development.</w:t>
      </w:r>
    </w:p>
    <w:p w14:paraId="323B8A7D" w14:textId="088F801A" w:rsidR="008E2542" w:rsidRPr="00096A22" w:rsidRDefault="008E2542" w:rsidP="007344DD">
      <w:pPr>
        <w:pStyle w:val="ListBullet"/>
      </w:pPr>
      <w:r w:rsidRPr="00096A22">
        <w:t>This points to a need for more work developing assessment methods for MSPs, collecting ex</w:t>
      </w:r>
      <w:r w:rsidR="00EC2C42">
        <w:t xml:space="preserve"> </w:t>
      </w:r>
      <w:r w:rsidRPr="00096A22">
        <w:t>post data, and better linking this academic research to policy-oriented work.</w:t>
      </w:r>
    </w:p>
    <w:p w14:paraId="313CB60D" w14:textId="77777777" w:rsidR="008E2542" w:rsidRPr="00096A22" w:rsidRDefault="008E2542" w:rsidP="007344DD">
      <w:pPr>
        <w:pStyle w:val="ListBullet"/>
      </w:pPr>
      <w:r w:rsidRPr="00096A22">
        <w:t>Existing literature reviews point to a need for theoretical work on the appropriate metrics for MSP success. This includes theoretical work on the appropriate role of and expectations from MSPs in sustainable development transitions. This work should inform efforts to develop better empirical bases for MSP evaluation.</w:t>
      </w:r>
    </w:p>
    <w:p w14:paraId="0120E5FF" w14:textId="637D0D63" w:rsidR="008E2542" w:rsidRPr="00096A22" w:rsidRDefault="008E2542" w:rsidP="007344DD">
      <w:pPr>
        <w:pStyle w:val="ListBullet"/>
      </w:pPr>
      <w:r w:rsidRPr="00096A22">
        <w:lastRenderedPageBreak/>
        <w:t>Existing research indicates quite demanding design principles for achieving effective MSPs.</w:t>
      </w:r>
      <w:r w:rsidR="004A7123">
        <w:t xml:space="preserve"> </w:t>
      </w:r>
      <w:r w:rsidRPr="00096A22">
        <w:t xml:space="preserve">Given high expectations on the operational capacities that need to be in place, there should </w:t>
      </w:r>
      <w:r w:rsidR="001A2E8F">
        <w:t>b</w:t>
      </w:r>
      <w:r w:rsidRPr="00096A22">
        <w:t xml:space="preserve">e more research into the realistic scope for MSPs in bringing about the SDGs. In other words, to what extent do gaps in governance and </w:t>
      </w:r>
      <w:r w:rsidR="001A2E8F">
        <w:t xml:space="preserve">in </w:t>
      </w:r>
      <w:r w:rsidRPr="00096A22">
        <w:t>achievement of sustainable development goals point to a key role for MSPs</w:t>
      </w:r>
      <w:r w:rsidR="001A2E8F">
        <w:t>?</w:t>
      </w:r>
      <w:r w:rsidRPr="00096A22">
        <w:t xml:space="preserve"> </w:t>
      </w:r>
      <w:r w:rsidR="001A2E8F">
        <w:t>A</w:t>
      </w:r>
      <w:r w:rsidRPr="00096A22">
        <w:t>nd to what extent can gaps only be addressed by improving the capacity of traditional authorities?</w:t>
      </w:r>
    </w:p>
    <w:p w14:paraId="1081CC9C" w14:textId="3C1517AA" w:rsidR="00A970E6" w:rsidRPr="00096A22" w:rsidRDefault="008E2542" w:rsidP="007344DD">
      <w:pPr>
        <w:pStyle w:val="ListBullet"/>
      </w:pPr>
      <w:r w:rsidRPr="00096A22">
        <w:t>There is a need for more comparative research examining why some sustainable</w:t>
      </w:r>
      <w:r w:rsidR="00A864DF">
        <w:t>-</w:t>
      </w:r>
      <w:r w:rsidRPr="00096A22">
        <w:t>development</w:t>
      </w:r>
      <w:r w:rsidR="00A864DF">
        <w:t>-</w:t>
      </w:r>
      <w:r w:rsidRPr="00096A22">
        <w:t>oriented MSPs are successful in closing achievement and/or governance gaps while others are less so. In addition, comparative studies could provide a better understanding of the variation in roles MSPs could/should have with respect to different SDG goals.</w:t>
      </w:r>
    </w:p>
    <w:p w14:paraId="5E933F82" w14:textId="7CF7D00D" w:rsidR="00A970E6" w:rsidRPr="00096A22" w:rsidRDefault="00A970E6" w:rsidP="00A970E6">
      <w:pPr>
        <w:spacing w:after="0" w:line="240" w:lineRule="auto"/>
        <w:ind w:firstLine="360"/>
        <w:rPr>
          <w:u w:val="single"/>
        </w:rPr>
      </w:pPr>
      <w:r w:rsidRPr="00096A22">
        <w:rPr>
          <w:u w:val="single"/>
        </w:rPr>
        <w:t>Expert recommendations</w:t>
      </w:r>
    </w:p>
    <w:p w14:paraId="51F838F7" w14:textId="09D9E889" w:rsidR="00596120" w:rsidRPr="00AA38F3" w:rsidRDefault="00897871" w:rsidP="007344DD">
      <w:pPr>
        <w:pStyle w:val="ListBullet"/>
      </w:pPr>
      <w:r w:rsidRPr="00560B94">
        <w:t>D</w:t>
      </w:r>
      <w:r w:rsidR="00596120" w:rsidRPr="00560B94">
        <w:t xml:space="preserve">evelop MSP platforms that could better facilitate involvement from different sectoral stakeholders (e.g. private </w:t>
      </w:r>
      <w:r w:rsidRPr="00560B94">
        <w:t>and</w:t>
      </w:r>
      <w:r w:rsidR="00596120" w:rsidRPr="00560B94">
        <w:t xml:space="preserve"> governmental) and draw lessons learned from existing MSP platforms.</w:t>
      </w:r>
    </w:p>
    <w:p w14:paraId="3AAE344C" w14:textId="232F621A" w:rsidR="00596120" w:rsidRPr="001A25E1" w:rsidRDefault="00897871" w:rsidP="007344DD">
      <w:pPr>
        <w:pStyle w:val="ListBullet"/>
      </w:pPr>
      <w:r w:rsidRPr="0006371E">
        <w:t>I</w:t>
      </w:r>
      <w:r w:rsidR="00596120" w:rsidRPr="0006371E">
        <w:t xml:space="preserve">dentify ways to ensure that MSPs for SDG advancement are representative </w:t>
      </w:r>
      <w:r w:rsidRPr="006535FF">
        <w:t xml:space="preserve">of </w:t>
      </w:r>
      <w:r w:rsidR="00596120" w:rsidRPr="0072117F">
        <w:t>all countries and give voice to less powerful groups.</w:t>
      </w:r>
    </w:p>
    <w:p w14:paraId="481915E9" w14:textId="2091B6B1" w:rsidR="00596120" w:rsidRPr="003C06B8" w:rsidRDefault="00897871" w:rsidP="007344DD">
      <w:pPr>
        <w:pStyle w:val="ListBullet"/>
      </w:pPr>
      <w:r w:rsidRPr="00B95C31">
        <w:t>Examine</w:t>
      </w:r>
      <w:r w:rsidR="00596120" w:rsidRPr="00B95C31">
        <w:t xml:space="preserve"> how MSPs address conflicts of interest within partnerships. How do such conflict</w:t>
      </w:r>
      <w:r w:rsidRPr="003C06B8">
        <w:t>s</w:t>
      </w:r>
      <w:r w:rsidR="00596120" w:rsidRPr="003C06B8">
        <w:t xml:space="preserve"> impact effectiveness and legitimacy</w:t>
      </w:r>
      <w:r w:rsidRPr="003C06B8">
        <w:t>,</w:t>
      </w:r>
      <w:r w:rsidR="00596120" w:rsidRPr="003C06B8">
        <w:t xml:space="preserve"> and what are the best practices for managing conflicts?</w:t>
      </w:r>
    </w:p>
    <w:p w14:paraId="056A5E5F" w14:textId="63BB848E" w:rsidR="00596120" w:rsidRPr="003C06B8" w:rsidRDefault="00897871" w:rsidP="007344DD">
      <w:pPr>
        <w:pStyle w:val="ListBullet"/>
      </w:pPr>
      <w:r w:rsidRPr="003C06B8">
        <w:t>P</w:t>
      </w:r>
      <w:r w:rsidR="00596120" w:rsidRPr="003C06B8">
        <w:t>roblematis</w:t>
      </w:r>
      <w:r w:rsidRPr="003C06B8">
        <w:t>e</w:t>
      </w:r>
      <w:r w:rsidR="00596120" w:rsidRPr="003C06B8">
        <w:t xml:space="preserve"> the risks and potential of MSPs. Why do actors want them</w:t>
      </w:r>
      <w:r w:rsidRPr="003C06B8">
        <w:t>?</w:t>
      </w:r>
      <w:r w:rsidR="00596120" w:rsidRPr="003C06B8">
        <w:t xml:space="preserve"> </w:t>
      </w:r>
      <w:r w:rsidRPr="003C06B8">
        <w:t>I</w:t>
      </w:r>
      <w:r w:rsidR="00596120" w:rsidRPr="003C06B8">
        <w:t>s there clarity amongst various actors on what they expect MSPs to achieve</w:t>
      </w:r>
      <w:r w:rsidRPr="003C06B8">
        <w:t>?</w:t>
      </w:r>
      <w:r w:rsidR="00596120" w:rsidRPr="003C06B8">
        <w:t xml:space="preserve"> </w:t>
      </w:r>
      <w:r w:rsidRPr="003C06B8">
        <w:t>W</w:t>
      </w:r>
      <w:r w:rsidR="00596120" w:rsidRPr="003C06B8">
        <w:t>hat are the dynamics and outputs of partnerships that bring together actors that are not strongly motivated to cooperate with each other?</w:t>
      </w:r>
    </w:p>
    <w:p w14:paraId="5AAD7B9E" w14:textId="2BD93858" w:rsidR="008E2542" w:rsidRPr="00096A22" w:rsidRDefault="00596120" w:rsidP="008E2542">
      <w:pPr>
        <w:pStyle w:val="ListBullet"/>
      </w:pPr>
      <w:r w:rsidRPr="003C06B8">
        <w:t>Develop typologies and mapping exercises that can provide a global overview of different types of partnerships and how their constellations and purposes vary.</w:t>
      </w:r>
    </w:p>
    <w:p w14:paraId="4C6C53C2" w14:textId="77777777" w:rsidR="007C13D3" w:rsidRPr="00096A22" w:rsidRDefault="007C13D3" w:rsidP="00D30CDF">
      <w:pPr>
        <w:pStyle w:val="Heading3"/>
        <w:numPr>
          <w:ilvl w:val="0"/>
          <w:numId w:val="0"/>
        </w:numPr>
      </w:pPr>
      <w:bookmarkStart w:id="16" w:name="_Toc529789829"/>
      <w:r w:rsidRPr="00096A22">
        <w:t>Expert recommendations beyond the review</w:t>
      </w:r>
      <w:r w:rsidR="00D30CDF" w:rsidRPr="00096A22">
        <w:t>’</w:t>
      </w:r>
      <w:r w:rsidRPr="00096A22">
        <w:t>s four key themes</w:t>
      </w:r>
      <w:bookmarkEnd w:id="16"/>
    </w:p>
    <w:p w14:paraId="72D620E0" w14:textId="61979981" w:rsidR="002F3E73" w:rsidRPr="00096A22" w:rsidRDefault="002F3E73" w:rsidP="007344DD">
      <w:pPr>
        <w:pStyle w:val="ListBullet"/>
      </w:pPr>
      <w:r w:rsidRPr="00096A22">
        <w:t xml:space="preserve">Work on fostering of learning for the achievement of the SDGs. This work should look both at what perceived leaders in developed countries, like Sweden, could contribute and </w:t>
      </w:r>
      <w:r w:rsidR="00F040FF">
        <w:t>in what ways</w:t>
      </w:r>
      <w:r w:rsidR="00F040FF" w:rsidRPr="00096A22">
        <w:t xml:space="preserve"> </w:t>
      </w:r>
      <w:r w:rsidRPr="00096A22">
        <w:t>developing countries could help Sweden and other developed countries.</w:t>
      </w:r>
    </w:p>
    <w:p w14:paraId="1BB824B1" w14:textId="77777777" w:rsidR="002F3E73" w:rsidRPr="00096A22" w:rsidRDefault="002F3E73" w:rsidP="007344DD">
      <w:pPr>
        <w:pStyle w:val="ListBullet"/>
      </w:pPr>
      <w:r w:rsidRPr="00096A22">
        <w:t>Work on how to foster more learning across municipalities in Sweden and between municipalities in different countries.</w:t>
      </w:r>
    </w:p>
    <w:p w14:paraId="026462C3" w14:textId="684CA150" w:rsidR="002F3E73" w:rsidRPr="00096A22" w:rsidRDefault="00F040FF" w:rsidP="007344DD">
      <w:pPr>
        <w:pStyle w:val="ListBullet"/>
      </w:pPr>
      <w:r>
        <w:t>Examine</w:t>
      </w:r>
      <w:r w:rsidR="002F3E73" w:rsidRPr="00096A22">
        <w:t xml:space="preserve"> how to ensure the quality of education around Agenda 2030 and </w:t>
      </w:r>
      <w:r>
        <w:t>assess</w:t>
      </w:r>
      <w:r w:rsidR="002F3E73" w:rsidRPr="00096A22">
        <w:t xml:space="preserve"> what forms of education </w:t>
      </w:r>
      <w:r>
        <w:t>provide</w:t>
      </w:r>
      <w:r w:rsidRPr="00096A22">
        <w:t xml:space="preserve"> </w:t>
      </w:r>
      <w:r w:rsidR="002F3E73" w:rsidRPr="00096A22">
        <w:t xml:space="preserve">long-term effects. </w:t>
      </w:r>
      <w:r w:rsidR="002F3E73" w:rsidRPr="00096A22">
        <w:tab/>
      </w:r>
    </w:p>
    <w:p w14:paraId="602D78C0" w14:textId="5ED577DE" w:rsidR="002F3E73" w:rsidRPr="00096A22" w:rsidRDefault="002F3E73" w:rsidP="007344DD">
      <w:pPr>
        <w:pStyle w:val="ListBullet"/>
      </w:pPr>
      <w:r w:rsidRPr="00096A22">
        <w:t>Research the conditions for achieving ownership of the SDG agenda among different actors. For example, how can we get the private sector to internalise the SDG agenda in business practices?</w:t>
      </w:r>
    </w:p>
    <w:p w14:paraId="4B7E5A82" w14:textId="045FB872" w:rsidR="002F3E73" w:rsidRPr="00096A22" w:rsidRDefault="00F040FF" w:rsidP="007344DD">
      <w:pPr>
        <w:pStyle w:val="ListBullet"/>
      </w:pPr>
      <w:r>
        <w:t>Conduct m</w:t>
      </w:r>
      <w:r w:rsidR="002F3E73" w:rsidRPr="00096A22">
        <w:t>ore research on how to bring about transformative change as opposed to gradual change.</w:t>
      </w:r>
      <w:r w:rsidR="004A7123">
        <w:t xml:space="preserve"> </w:t>
      </w:r>
      <w:r>
        <w:t>This includes m</w:t>
      </w:r>
      <w:r w:rsidR="002F3E73" w:rsidRPr="00096A22">
        <w:t>apping the financing for SDG achievement (where it is coming from and going to), identifying financing gaps, and addressing choices about what to finance.</w:t>
      </w:r>
    </w:p>
    <w:p w14:paraId="49630844" w14:textId="26389372" w:rsidR="00463FD0" w:rsidRPr="00096A22" w:rsidRDefault="004B7EB8" w:rsidP="007344DD">
      <w:pPr>
        <w:pStyle w:val="ListBullet"/>
      </w:pPr>
      <w:r>
        <w:t>There is a</w:t>
      </w:r>
      <w:r w:rsidR="002F3E73" w:rsidRPr="00096A22">
        <w:t xml:space="preserve"> need for some deeper thinking on the underlying assumptions of SDG 17, in particular with respect to development objectives and perspectives from Western and Southern regions. How do these assumptions impact on our capacity to advance the SDGs?</w:t>
      </w:r>
      <w:r w:rsidR="004A7123">
        <w:t xml:space="preserve"> </w:t>
      </w:r>
      <w:r w:rsidR="00463FD0" w:rsidRPr="00096A22">
        <w:br w:type="page"/>
      </w:r>
    </w:p>
    <w:p w14:paraId="7740E6C6" w14:textId="77777777" w:rsidR="00667874" w:rsidRPr="00096A22" w:rsidRDefault="00667874" w:rsidP="00667874">
      <w:pPr>
        <w:pStyle w:val="Heading1"/>
      </w:pPr>
      <w:bookmarkStart w:id="17" w:name="_Toc529789830"/>
      <w:r w:rsidRPr="00096A22">
        <w:lastRenderedPageBreak/>
        <w:t>Introduction</w:t>
      </w:r>
      <w:bookmarkEnd w:id="17"/>
    </w:p>
    <w:p w14:paraId="0FE2447A" w14:textId="77777777" w:rsidR="00452540" w:rsidRPr="00096A22" w:rsidRDefault="00452540" w:rsidP="00452540">
      <w:pPr>
        <w:spacing w:after="200" w:line="276" w:lineRule="auto"/>
        <w:rPr>
          <w:rFonts w:ascii="Calibri" w:eastAsia="Calibri" w:hAnsi="Calibri" w:cs="Times New Roman"/>
        </w:rPr>
      </w:pPr>
      <w:r w:rsidRPr="00096A22">
        <w:rPr>
          <w:rFonts w:ascii="Calibri" w:eastAsia="Calibri" w:hAnsi="Calibri" w:cs="Times New Roman"/>
        </w:rPr>
        <w:t xml:space="preserve">This literature review forms part of the project Formas Agenda 2030, which aims to identify research needs related to the 17 Sustainable Development Goals (SDGs) and to explore options for making structural changes in research policy and funding to foster progress on the SDGs. The project involves literature reviews and exploratory workshops focusing on three SDGs as examples: SDG 12 </w:t>
      </w:r>
      <w:r w:rsidR="00B65CDC">
        <w:rPr>
          <w:rFonts w:ascii="Calibri" w:eastAsia="Calibri" w:hAnsi="Calibri" w:cs="Times New Roman"/>
        </w:rPr>
        <w:t>(</w:t>
      </w:r>
      <w:r w:rsidRPr="00096A22">
        <w:rPr>
          <w:rFonts w:ascii="Calibri" w:eastAsia="Calibri" w:hAnsi="Calibri" w:cs="Times New Roman"/>
        </w:rPr>
        <w:t>Responsible consumption and production</w:t>
      </w:r>
      <w:r w:rsidR="00B65CDC">
        <w:rPr>
          <w:rFonts w:ascii="Calibri" w:eastAsia="Calibri" w:hAnsi="Calibri" w:cs="Times New Roman"/>
        </w:rPr>
        <w:t>)</w:t>
      </w:r>
      <w:r w:rsidRPr="00096A22">
        <w:rPr>
          <w:rFonts w:ascii="Calibri" w:eastAsia="Calibri" w:hAnsi="Calibri" w:cs="Times New Roman"/>
        </w:rPr>
        <w:t xml:space="preserve">, SDG 14 </w:t>
      </w:r>
      <w:r w:rsidR="00B65CDC">
        <w:rPr>
          <w:rFonts w:ascii="Calibri" w:eastAsia="Calibri" w:hAnsi="Calibri" w:cs="Times New Roman"/>
        </w:rPr>
        <w:t>(</w:t>
      </w:r>
      <w:r w:rsidRPr="00096A22">
        <w:rPr>
          <w:rFonts w:ascii="Calibri" w:eastAsia="Calibri" w:hAnsi="Calibri" w:cs="Times New Roman"/>
        </w:rPr>
        <w:t>Life below water</w:t>
      </w:r>
      <w:r w:rsidR="00B65CDC">
        <w:rPr>
          <w:rFonts w:ascii="Calibri" w:eastAsia="Calibri" w:hAnsi="Calibri" w:cs="Times New Roman"/>
        </w:rPr>
        <w:t>)</w:t>
      </w:r>
      <w:r w:rsidRPr="00096A22">
        <w:rPr>
          <w:rFonts w:ascii="Calibri" w:eastAsia="Calibri" w:hAnsi="Calibri" w:cs="Times New Roman"/>
        </w:rPr>
        <w:t xml:space="preserve"> and SDG 17 </w:t>
      </w:r>
      <w:r w:rsidR="00B65CDC">
        <w:rPr>
          <w:rFonts w:ascii="Calibri" w:eastAsia="Calibri" w:hAnsi="Calibri" w:cs="Times New Roman"/>
        </w:rPr>
        <w:t>(</w:t>
      </w:r>
      <w:r w:rsidRPr="00096A22">
        <w:rPr>
          <w:rFonts w:ascii="Calibri" w:eastAsia="Calibri" w:hAnsi="Calibri" w:cs="Times New Roman"/>
        </w:rPr>
        <w:t>Partnerships for the goals</w:t>
      </w:r>
      <w:r w:rsidR="00B65CDC">
        <w:rPr>
          <w:rFonts w:ascii="Calibri" w:eastAsia="Calibri" w:hAnsi="Calibri" w:cs="Times New Roman"/>
        </w:rPr>
        <w:t>)</w:t>
      </w:r>
      <w:r w:rsidRPr="00096A22">
        <w:rPr>
          <w:rFonts w:ascii="Calibri" w:eastAsia="Calibri" w:hAnsi="Calibri" w:cs="Times New Roman"/>
        </w:rPr>
        <w:t>.</w:t>
      </w:r>
    </w:p>
    <w:p w14:paraId="7669AA40" w14:textId="345A2107" w:rsidR="00452540" w:rsidRPr="00096A22" w:rsidRDefault="00452540" w:rsidP="00452540">
      <w:pPr>
        <w:spacing w:after="200" w:line="276" w:lineRule="auto"/>
        <w:rPr>
          <w:rFonts w:ascii="Calibri" w:eastAsia="Calibri" w:hAnsi="Calibri" w:cs="Times New Roman"/>
        </w:rPr>
      </w:pPr>
      <w:r w:rsidRPr="00096A22">
        <w:rPr>
          <w:rFonts w:ascii="Calibri" w:eastAsia="Calibri" w:hAnsi="Calibri" w:cs="Times New Roman"/>
        </w:rPr>
        <w:t>This review presents preliminary findings on research needs for SDG 1</w:t>
      </w:r>
      <w:r w:rsidR="0019772E" w:rsidRPr="00096A22">
        <w:rPr>
          <w:rFonts w:ascii="Calibri" w:eastAsia="Calibri" w:hAnsi="Calibri" w:cs="Times New Roman"/>
        </w:rPr>
        <w:t>7</w:t>
      </w:r>
      <w:r w:rsidR="00B65CDC">
        <w:rPr>
          <w:rFonts w:ascii="Calibri" w:eastAsia="Calibri" w:hAnsi="Calibri" w:cs="Times New Roman"/>
        </w:rPr>
        <w:t>:</w:t>
      </w:r>
      <w:r w:rsidRPr="00096A22">
        <w:rPr>
          <w:rFonts w:ascii="Calibri" w:eastAsia="Calibri" w:hAnsi="Calibri" w:cs="Times New Roman"/>
        </w:rPr>
        <w:t xml:space="preserve"> </w:t>
      </w:r>
      <w:r w:rsidR="00753D01" w:rsidRPr="00096A22">
        <w:rPr>
          <w:rFonts w:ascii="Calibri" w:eastAsia="Calibri" w:hAnsi="Calibri" w:cs="Times New Roman"/>
        </w:rPr>
        <w:t>Partnerships for the goals, drawing on a subset of its 19 targets</w:t>
      </w:r>
      <w:r w:rsidR="00B65CDC">
        <w:rPr>
          <w:rFonts w:ascii="Calibri" w:eastAsia="Calibri" w:hAnsi="Calibri" w:cs="Times New Roman"/>
        </w:rPr>
        <w:t>,</w:t>
      </w:r>
      <w:r w:rsidR="00753D01" w:rsidRPr="00096A22">
        <w:rPr>
          <w:rFonts w:ascii="Calibri" w:eastAsia="Calibri" w:hAnsi="Calibri" w:cs="Times New Roman"/>
        </w:rPr>
        <w:t xml:space="preserve"> as well as relevant targets under SDG 16 and 9</w:t>
      </w:r>
      <w:r w:rsidRPr="00096A22">
        <w:rPr>
          <w:rFonts w:ascii="Calibri" w:eastAsia="Calibri" w:hAnsi="Calibri" w:cs="Times New Roman"/>
        </w:rPr>
        <w:t>.</w:t>
      </w:r>
      <w:r w:rsidR="00753D01" w:rsidRPr="00096A22">
        <w:rPr>
          <w:rFonts w:ascii="Calibri" w:eastAsia="Calibri" w:hAnsi="Calibri" w:cs="Times New Roman"/>
        </w:rPr>
        <w:t xml:space="preserve"> It focuses on four key themes</w:t>
      </w:r>
      <w:r w:rsidRPr="00096A22">
        <w:rPr>
          <w:rFonts w:ascii="Calibri" w:eastAsia="Calibri" w:hAnsi="Calibri" w:cs="Times New Roman"/>
        </w:rPr>
        <w:t xml:space="preserve"> </w:t>
      </w:r>
      <w:r w:rsidR="00753D01" w:rsidRPr="00096A22">
        <w:rPr>
          <w:rFonts w:ascii="Calibri" w:eastAsia="Calibri" w:hAnsi="Calibri" w:cs="Times New Roman"/>
        </w:rPr>
        <w:t>identified based on the targets: improvements in public administration and the quality of government</w:t>
      </w:r>
      <w:r w:rsidR="00B65CDC">
        <w:rPr>
          <w:rFonts w:ascii="Calibri" w:eastAsia="Calibri" w:hAnsi="Calibri" w:cs="Times New Roman"/>
        </w:rPr>
        <w:t>;</w:t>
      </w:r>
      <w:r w:rsidR="00753D01" w:rsidRPr="00096A22">
        <w:rPr>
          <w:rFonts w:ascii="Calibri" w:eastAsia="Calibri" w:hAnsi="Calibri" w:cs="Times New Roman"/>
        </w:rPr>
        <w:t xml:space="preserve"> policy coherence</w:t>
      </w:r>
      <w:r w:rsidR="00B65CDC">
        <w:rPr>
          <w:rFonts w:ascii="Calibri" w:eastAsia="Calibri" w:hAnsi="Calibri" w:cs="Times New Roman"/>
        </w:rPr>
        <w:t>;</w:t>
      </w:r>
      <w:r w:rsidR="00753D01" w:rsidRPr="00096A22">
        <w:rPr>
          <w:rFonts w:ascii="Calibri" w:eastAsia="Calibri" w:hAnsi="Calibri" w:cs="Times New Roman"/>
        </w:rPr>
        <w:t xml:space="preserve"> access to technology</w:t>
      </w:r>
      <w:r w:rsidR="00B65CDC">
        <w:rPr>
          <w:rFonts w:ascii="Calibri" w:eastAsia="Calibri" w:hAnsi="Calibri" w:cs="Times New Roman"/>
        </w:rPr>
        <w:t>;</w:t>
      </w:r>
      <w:r w:rsidR="00753D01" w:rsidRPr="00096A22">
        <w:rPr>
          <w:rFonts w:ascii="Calibri" w:eastAsia="Calibri" w:hAnsi="Calibri" w:cs="Times New Roman"/>
        </w:rPr>
        <w:t xml:space="preserve"> and multi-stakeholder partnerships. Further</w:t>
      </w:r>
      <w:r w:rsidR="005E1D73">
        <w:rPr>
          <w:rFonts w:ascii="Calibri" w:eastAsia="Calibri" w:hAnsi="Calibri" w:cs="Times New Roman"/>
        </w:rPr>
        <w:t>more</w:t>
      </w:r>
      <w:r w:rsidR="00753D01" w:rsidRPr="00096A22">
        <w:rPr>
          <w:rFonts w:ascii="Calibri" w:eastAsia="Calibri" w:hAnsi="Calibri" w:cs="Times New Roman"/>
        </w:rPr>
        <w:t>, interactions with other SDGs are considered throughout the review since SDG 17 is critical to the achievement of so many other goals and targets.</w:t>
      </w:r>
    </w:p>
    <w:p w14:paraId="4EB5405A" w14:textId="77777777" w:rsidR="005E1D73" w:rsidRDefault="00452540" w:rsidP="00452540">
      <w:pPr>
        <w:spacing w:after="0"/>
      </w:pPr>
      <w:r w:rsidRPr="00096A22">
        <w:t>In the context of the SDGs, three distinct roles for science, technology and innovation have been defined by Nilsson (2017)</w:t>
      </w:r>
      <w:r w:rsidR="005E1D73">
        <w:t>:</w:t>
      </w:r>
    </w:p>
    <w:p w14:paraId="1A729424" w14:textId="00B1D84C" w:rsidR="00452540" w:rsidRPr="00096A22" w:rsidRDefault="00452540" w:rsidP="00452540">
      <w:pPr>
        <w:spacing w:after="0"/>
      </w:pPr>
    </w:p>
    <w:p w14:paraId="38A9DB95" w14:textId="05C83702" w:rsidR="00452540" w:rsidRPr="00560B94" w:rsidRDefault="00452540" w:rsidP="007344DD">
      <w:pPr>
        <w:pStyle w:val="ListBullet"/>
      </w:pPr>
      <w:r w:rsidRPr="00560B94">
        <w:t>characteri</w:t>
      </w:r>
      <w:r w:rsidR="00690BEC">
        <w:t>se</w:t>
      </w:r>
      <w:r w:rsidRPr="00560B94">
        <w:t xml:space="preserve"> the challenges</w:t>
      </w:r>
    </w:p>
    <w:p w14:paraId="6759A6F0" w14:textId="3E06A94F" w:rsidR="00452540" w:rsidRPr="00C7502D" w:rsidRDefault="00452540" w:rsidP="007344DD">
      <w:pPr>
        <w:pStyle w:val="ListBullet"/>
      </w:pPr>
      <w:r w:rsidRPr="00560B94">
        <w:t>provid</w:t>
      </w:r>
      <w:r w:rsidR="00690BEC">
        <w:t>e</w:t>
      </w:r>
      <w:r w:rsidRPr="00560B94">
        <w:t xml:space="preserve"> the solutions</w:t>
      </w:r>
    </w:p>
    <w:p w14:paraId="6BF767BC" w14:textId="41C3D148" w:rsidR="00452540" w:rsidRPr="00096A22" w:rsidRDefault="00452540" w:rsidP="00690BEC">
      <w:pPr>
        <w:pStyle w:val="ListBullet"/>
      </w:pPr>
      <w:r w:rsidRPr="00C7502D">
        <w:t>strengthen public institutions and society</w:t>
      </w:r>
      <w:r w:rsidR="00690BEC">
        <w:t>.</w:t>
      </w:r>
    </w:p>
    <w:p w14:paraId="0D5390E9" w14:textId="5D512BEF" w:rsidR="00452540" w:rsidRPr="00096A22" w:rsidRDefault="00452540" w:rsidP="00452540">
      <w:pPr>
        <w:spacing w:after="0"/>
      </w:pPr>
      <w:r w:rsidRPr="00096A22">
        <w:t>In this review, we focus primarily on research needs in relation to the first and second roles, whereas the main report elaborate</w:t>
      </w:r>
      <w:r w:rsidR="005E1D73">
        <w:t>s</w:t>
      </w:r>
      <w:r w:rsidRPr="00096A22">
        <w:t xml:space="preserve"> on the third role as well.</w:t>
      </w:r>
    </w:p>
    <w:p w14:paraId="59EAE6A0" w14:textId="77777777" w:rsidR="00452540" w:rsidRPr="00096A22" w:rsidRDefault="00452540" w:rsidP="00452540">
      <w:pPr>
        <w:spacing w:after="0"/>
      </w:pPr>
    </w:p>
    <w:p w14:paraId="239E79DE" w14:textId="346C2AA1" w:rsidR="00452540" w:rsidRPr="00096A22" w:rsidRDefault="005E1D73" w:rsidP="00452540">
      <w:pPr>
        <w:spacing w:after="0"/>
      </w:pPr>
      <w:r>
        <w:t>An</w:t>
      </w:r>
      <w:r w:rsidR="00452540" w:rsidRPr="00096A22">
        <w:t xml:space="preserve"> extension of this review</w:t>
      </w:r>
      <w:r>
        <w:t xml:space="preserve"> could be an</w:t>
      </w:r>
      <w:r w:rsidR="00452540" w:rsidRPr="00096A22">
        <w:t xml:space="preserve"> analysis </w:t>
      </w:r>
      <w:r>
        <w:t xml:space="preserve">of </w:t>
      </w:r>
      <w:r w:rsidR="00452540" w:rsidRPr="00096A22">
        <w:t xml:space="preserve">the comparative potential of Swedish research to fill knowledge gaps at regional and global levels. Furthermore, good examples of Swedish research projects and collaborations could be identified. However, </w:t>
      </w:r>
      <w:r w:rsidR="00753D01" w:rsidRPr="00096A22">
        <w:t>such analysis</w:t>
      </w:r>
      <w:r w:rsidR="00452540" w:rsidRPr="00096A22">
        <w:t xml:space="preserve"> goes beyond the current scope of the review.</w:t>
      </w:r>
    </w:p>
    <w:p w14:paraId="11B60927" w14:textId="77777777" w:rsidR="00452540" w:rsidRPr="00096A22" w:rsidRDefault="00452540" w:rsidP="00667874"/>
    <w:p w14:paraId="0F89C5EF" w14:textId="77777777" w:rsidR="00013C53" w:rsidRPr="00096A22" w:rsidRDefault="00667874" w:rsidP="00013C53">
      <w:pPr>
        <w:pStyle w:val="Heading2"/>
      </w:pPr>
      <w:bookmarkStart w:id="18" w:name="_Toc529789831"/>
      <w:r w:rsidRPr="00096A22">
        <w:t>Overview of goals and targets</w:t>
      </w:r>
      <w:bookmarkEnd w:id="18"/>
    </w:p>
    <w:p w14:paraId="337B0E1C" w14:textId="4B7CB7C0" w:rsidR="00117F17" w:rsidRPr="00096A22" w:rsidRDefault="00117F17" w:rsidP="00117F17">
      <w:r w:rsidRPr="00096A22">
        <w:t xml:space="preserve">For this review, our point of departure has been the goal and its </w:t>
      </w:r>
      <w:r w:rsidR="005E1D73">
        <w:t>19</w:t>
      </w:r>
      <w:r w:rsidR="005E1D73" w:rsidRPr="00096A22">
        <w:t xml:space="preserve"> </w:t>
      </w:r>
      <w:r w:rsidRPr="00096A22">
        <w:t>targets. Table 1 lists the targets under SDG 17.</w:t>
      </w:r>
    </w:p>
    <w:p w14:paraId="12D90910" w14:textId="77777777" w:rsidR="00ED4291" w:rsidRPr="00096A22" w:rsidRDefault="00ED4291" w:rsidP="00ED4291">
      <w:pPr>
        <w:pStyle w:val="Caption"/>
        <w:keepNext/>
      </w:pPr>
      <w:r w:rsidRPr="00096A22">
        <w:t xml:space="preserve">Table </w:t>
      </w:r>
      <w:r w:rsidR="0000333D">
        <w:fldChar w:fldCharType="begin"/>
      </w:r>
      <w:r w:rsidR="0000333D">
        <w:instrText xml:space="preserve"> SEQ Table \* ARABIC </w:instrText>
      </w:r>
      <w:r w:rsidR="0000333D">
        <w:fldChar w:fldCharType="separate"/>
      </w:r>
      <w:r w:rsidR="002463A5" w:rsidRPr="00096A22">
        <w:t>2</w:t>
      </w:r>
      <w:r w:rsidR="0000333D">
        <w:fldChar w:fldCharType="end"/>
      </w:r>
      <w:r w:rsidRPr="00096A22">
        <w:t xml:space="preserve">. Overview of SDG 17. Targets in focus </w:t>
      </w:r>
      <w:r w:rsidR="00452540" w:rsidRPr="00096A22">
        <w:t xml:space="preserve">in this review </w:t>
      </w:r>
      <w:r w:rsidRPr="00096A22">
        <w:t>are in bold.</w:t>
      </w:r>
    </w:p>
    <w:tbl>
      <w:tblPr>
        <w:tblStyle w:val="TableGrid"/>
        <w:tblW w:w="0" w:type="auto"/>
        <w:tblLook w:val="04A0" w:firstRow="1" w:lastRow="0" w:firstColumn="1" w:lastColumn="0" w:noHBand="0" w:noVBand="1"/>
      </w:tblPr>
      <w:tblGrid>
        <w:gridCol w:w="1002"/>
        <w:gridCol w:w="7724"/>
      </w:tblGrid>
      <w:tr w:rsidR="00FB35AC" w:rsidRPr="00096A22" w14:paraId="6E11BAA3" w14:textId="77777777" w:rsidTr="00FB35AC">
        <w:trPr>
          <w:cnfStyle w:val="100000000000" w:firstRow="1" w:lastRow="0" w:firstColumn="0" w:lastColumn="0" w:oddVBand="0" w:evenVBand="0" w:oddHBand="0" w:evenHBand="0" w:firstRowFirstColumn="0" w:firstRowLastColumn="0" w:lastRowFirstColumn="0" w:lastRowLastColumn="0"/>
        </w:trPr>
        <w:tc>
          <w:tcPr>
            <w:tcW w:w="8726" w:type="dxa"/>
            <w:gridSpan w:val="2"/>
          </w:tcPr>
          <w:p w14:paraId="2B3D69D4" w14:textId="77777777" w:rsidR="00FB35AC" w:rsidRPr="00096A22" w:rsidRDefault="00FB35AC" w:rsidP="00FB35AC">
            <w:pPr>
              <w:pStyle w:val="TableFigureTitle"/>
            </w:pPr>
            <w:r w:rsidRPr="00096A22">
              <w:t>SDG 17. Strengthen the means of implementation and revitalize the global partnership for sustainable development</w:t>
            </w:r>
          </w:p>
        </w:tc>
      </w:tr>
      <w:tr w:rsidR="00FB35AC" w:rsidRPr="00096A22" w14:paraId="79627DCE" w14:textId="77777777" w:rsidTr="00FB35AC">
        <w:tc>
          <w:tcPr>
            <w:tcW w:w="1002" w:type="dxa"/>
          </w:tcPr>
          <w:p w14:paraId="3931EA23" w14:textId="77777777" w:rsidR="00FB35AC" w:rsidRPr="00096A22" w:rsidRDefault="00FB35AC" w:rsidP="00FB35AC">
            <w:pPr>
              <w:rPr>
                <w:sz w:val="18"/>
              </w:rPr>
            </w:pPr>
            <w:r w:rsidRPr="00096A22">
              <w:rPr>
                <w:sz w:val="18"/>
              </w:rPr>
              <w:t>17.1</w:t>
            </w:r>
          </w:p>
        </w:tc>
        <w:tc>
          <w:tcPr>
            <w:tcW w:w="7724" w:type="dxa"/>
          </w:tcPr>
          <w:p w14:paraId="4AF02259" w14:textId="461081D5" w:rsidR="00FB35AC" w:rsidRPr="00096A22" w:rsidRDefault="00FB35AC" w:rsidP="00FB35AC">
            <w:pPr>
              <w:rPr>
                <w:b/>
                <w:sz w:val="18"/>
              </w:rPr>
            </w:pPr>
            <w:r w:rsidRPr="00096A22">
              <w:rPr>
                <w:b/>
                <w:sz w:val="18"/>
              </w:rPr>
              <w:t>Strengthen domestic resource mobili</w:t>
            </w:r>
            <w:r w:rsidR="00FB01AA">
              <w:rPr>
                <w:b/>
                <w:sz w:val="18"/>
              </w:rPr>
              <w:t>s</w:t>
            </w:r>
            <w:r w:rsidRPr="00096A22">
              <w:rPr>
                <w:b/>
                <w:sz w:val="18"/>
              </w:rPr>
              <w:t>ation, including through international support to developing countries, to improve domestic capacity for tax and other revenue collection</w:t>
            </w:r>
          </w:p>
        </w:tc>
      </w:tr>
      <w:tr w:rsidR="00FB35AC" w:rsidRPr="00096A22" w14:paraId="03237CE1" w14:textId="77777777" w:rsidTr="00FB35AC">
        <w:tc>
          <w:tcPr>
            <w:tcW w:w="1002" w:type="dxa"/>
          </w:tcPr>
          <w:p w14:paraId="528140FF" w14:textId="77777777" w:rsidR="00FB35AC" w:rsidRPr="00096A22" w:rsidRDefault="00FB35AC" w:rsidP="00FB35AC">
            <w:pPr>
              <w:rPr>
                <w:sz w:val="18"/>
              </w:rPr>
            </w:pPr>
            <w:r w:rsidRPr="00096A22">
              <w:rPr>
                <w:sz w:val="18"/>
              </w:rPr>
              <w:lastRenderedPageBreak/>
              <w:t>17.2</w:t>
            </w:r>
          </w:p>
        </w:tc>
        <w:tc>
          <w:tcPr>
            <w:tcW w:w="7724" w:type="dxa"/>
          </w:tcPr>
          <w:p w14:paraId="43A74589" w14:textId="77777777" w:rsidR="00FB35AC" w:rsidRPr="00096A22" w:rsidRDefault="00FB35AC" w:rsidP="00FB35AC">
            <w:pPr>
              <w:rPr>
                <w:sz w:val="18"/>
              </w:rPr>
            </w:pPr>
            <w:r w:rsidRPr="00096A22">
              <w:rPr>
                <w:sz w:val="18"/>
              </w:rPr>
              <w:t>Developed countries to implement fully their official development assistance commitments, including the commitment by many developed countries to achieve the target of 0.7 per cent of ODA/GNI to developing countries and 0.15 to 0.20 per cent of ODA/GNI to least developed countries; ODA providers are encouraged to consider setting a target to provide at least 0.20 per cent of ODA/GNI to least developed countries</w:t>
            </w:r>
          </w:p>
        </w:tc>
      </w:tr>
      <w:tr w:rsidR="00FB35AC" w:rsidRPr="00096A22" w14:paraId="21D35B6C" w14:textId="77777777" w:rsidTr="00FB35AC">
        <w:tc>
          <w:tcPr>
            <w:tcW w:w="1002" w:type="dxa"/>
          </w:tcPr>
          <w:p w14:paraId="037A6AA1" w14:textId="77777777" w:rsidR="00FB35AC" w:rsidRPr="00096A22" w:rsidRDefault="00FB35AC" w:rsidP="00FB35AC">
            <w:pPr>
              <w:rPr>
                <w:sz w:val="18"/>
              </w:rPr>
            </w:pPr>
            <w:r w:rsidRPr="00096A22">
              <w:rPr>
                <w:sz w:val="18"/>
              </w:rPr>
              <w:t>17.3</w:t>
            </w:r>
          </w:p>
        </w:tc>
        <w:tc>
          <w:tcPr>
            <w:tcW w:w="7724" w:type="dxa"/>
          </w:tcPr>
          <w:p w14:paraId="0A596063" w14:textId="77777777" w:rsidR="00FB35AC" w:rsidRPr="00096A22" w:rsidRDefault="00FB35AC" w:rsidP="00FB35AC">
            <w:pPr>
              <w:rPr>
                <w:b/>
                <w:sz w:val="18"/>
              </w:rPr>
            </w:pPr>
            <w:r w:rsidRPr="00096A22">
              <w:rPr>
                <w:b/>
                <w:sz w:val="18"/>
              </w:rPr>
              <w:t>Mobilize additional financial resources for developing countries from multiple sources</w:t>
            </w:r>
          </w:p>
        </w:tc>
      </w:tr>
      <w:tr w:rsidR="00FB35AC" w:rsidRPr="00096A22" w14:paraId="24A9CEDA" w14:textId="77777777" w:rsidTr="00FB35AC">
        <w:tc>
          <w:tcPr>
            <w:tcW w:w="1002" w:type="dxa"/>
          </w:tcPr>
          <w:p w14:paraId="446701EC" w14:textId="77777777" w:rsidR="00FB35AC" w:rsidRPr="00096A22" w:rsidRDefault="00FB35AC" w:rsidP="00FB35AC">
            <w:pPr>
              <w:rPr>
                <w:sz w:val="18"/>
              </w:rPr>
            </w:pPr>
            <w:r w:rsidRPr="00096A22">
              <w:rPr>
                <w:sz w:val="18"/>
              </w:rPr>
              <w:t>17.4</w:t>
            </w:r>
          </w:p>
        </w:tc>
        <w:tc>
          <w:tcPr>
            <w:tcW w:w="7724" w:type="dxa"/>
          </w:tcPr>
          <w:p w14:paraId="3EC19CD1" w14:textId="77777777" w:rsidR="00FB35AC" w:rsidRPr="00096A22" w:rsidRDefault="00FB35AC" w:rsidP="00FB35AC">
            <w:pPr>
              <w:rPr>
                <w:sz w:val="18"/>
              </w:rPr>
            </w:pPr>
            <w:r w:rsidRPr="00096A22">
              <w:rPr>
                <w:sz w:val="18"/>
              </w:rPr>
              <w:t>Assist developing countries in attaining long-term debt sustainability through coordinated policies aimed at fostering debt financing, debt relief and debt restructuring, as appropriate, and address the external debt of highly indebted poor countries to reduce debt distress</w:t>
            </w:r>
          </w:p>
        </w:tc>
      </w:tr>
      <w:tr w:rsidR="00FB35AC" w:rsidRPr="00096A22" w14:paraId="3C224A4D" w14:textId="77777777" w:rsidTr="00FB35AC">
        <w:tc>
          <w:tcPr>
            <w:tcW w:w="1002" w:type="dxa"/>
          </w:tcPr>
          <w:p w14:paraId="21713B44" w14:textId="77777777" w:rsidR="00FB35AC" w:rsidRPr="00096A22" w:rsidRDefault="00FB35AC" w:rsidP="00FB35AC">
            <w:pPr>
              <w:rPr>
                <w:sz w:val="18"/>
              </w:rPr>
            </w:pPr>
            <w:r w:rsidRPr="00096A22">
              <w:rPr>
                <w:sz w:val="18"/>
              </w:rPr>
              <w:t>17.5</w:t>
            </w:r>
          </w:p>
        </w:tc>
        <w:tc>
          <w:tcPr>
            <w:tcW w:w="7724" w:type="dxa"/>
          </w:tcPr>
          <w:p w14:paraId="0FFB70C7" w14:textId="77777777" w:rsidR="00FB35AC" w:rsidRPr="00096A22" w:rsidRDefault="00FB35AC" w:rsidP="00FB35AC">
            <w:pPr>
              <w:rPr>
                <w:sz w:val="18"/>
              </w:rPr>
            </w:pPr>
            <w:r w:rsidRPr="00096A22">
              <w:rPr>
                <w:sz w:val="18"/>
              </w:rPr>
              <w:t>Adopt and implement investment promotion regimes for least developed countries</w:t>
            </w:r>
          </w:p>
        </w:tc>
      </w:tr>
      <w:tr w:rsidR="00FB35AC" w:rsidRPr="00096A22" w14:paraId="51E70801" w14:textId="77777777" w:rsidTr="00FB35AC">
        <w:tc>
          <w:tcPr>
            <w:tcW w:w="1002" w:type="dxa"/>
          </w:tcPr>
          <w:p w14:paraId="0A8934CE" w14:textId="77777777" w:rsidR="00FB35AC" w:rsidRPr="00096A22" w:rsidRDefault="00FB35AC" w:rsidP="00FB35AC">
            <w:pPr>
              <w:rPr>
                <w:sz w:val="18"/>
              </w:rPr>
            </w:pPr>
            <w:r w:rsidRPr="00096A22">
              <w:rPr>
                <w:sz w:val="18"/>
              </w:rPr>
              <w:t>17.6</w:t>
            </w:r>
          </w:p>
        </w:tc>
        <w:tc>
          <w:tcPr>
            <w:tcW w:w="7724" w:type="dxa"/>
          </w:tcPr>
          <w:p w14:paraId="4CBB8B97" w14:textId="77777777" w:rsidR="00FB35AC" w:rsidRPr="00096A22" w:rsidRDefault="00FB35AC" w:rsidP="00FB35AC">
            <w:pPr>
              <w:rPr>
                <w:b/>
                <w:sz w:val="18"/>
              </w:rPr>
            </w:pPr>
            <w:r w:rsidRPr="00096A22">
              <w:rPr>
                <w:b/>
                <w:sz w:val="18"/>
              </w:rPr>
              <w:t>Enhance North-South, South-South and triangular regional and international cooperation on and access to science, technology and innovation and enhance knowledge sharing on mutually agreed terms, including through improved coordination among existing mechanisms, in particular at the United Nations level, and through a global technology facilitation mechanism</w:t>
            </w:r>
          </w:p>
        </w:tc>
      </w:tr>
      <w:tr w:rsidR="00FB35AC" w:rsidRPr="00096A22" w14:paraId="7E6902CD" w14:textId="77777777" w:rsidTr="00FB35AC">
        <w:tc>
          <w:tcPr>
            <w:tcW w:w="1002" w:type="dxa"/>
          </w:tcPr>
          <w:p w14:paraId="272AFAA3" w14:textId="77777777" w:rsidR="00FB35AC" w:rsidRPr="00096A22" w:rsidRDefault="00FB35AC" w:rsidP="00FB35AC">
            <w:pPr>
              <w:rPr>
                <w:sz w:val="18"/>
              </w:rPr>
            </w:pPr>
            <w:r w:rsidRPr="00096A22">
              <w:rPr>
                <w:sz w:val="18"/>
              </w:rPr>
              <w:t>17.7</w:t>
            </w:r>
          </w:p>
        </w:tc>
        <w:tc>
          <w:tcPr>
            <w:tcW w:w="7724" w:type="dxa"/>
          </w:tcPr>
          <w:p w14:paraId="36DE04C0" w14:textId="77777777" w:rsidR="00FB35AC" w:rsidRPr="00096A22" w:rsidRDefault="00FB35AC" w:rsidP="00FB35AC">
            <w:pPr>
              <w:rPr>
                <w:b/>
                <w:sz w:val="18"/>
              </w:rPr>
            </w:pPr>
            <w:r w:rsidRPr="00096A22">
              <w:rPr>
                <w:b/>
                <w:sz w:val="18"/>
              </w:rPr>
              <w:t>Promote the development, transfer, dissemination and diffusion of environmentally sound technologies to developing countries on favourable terms, including on concessional and preferential terms, as mutually agreed</w:t>
            </w:r>
          </w:p>
        </w:tc>
      </w:tr>
      <w:tr w:rsidR="00FB35AC" w:rsidRPr="00096A22" w14:paraId="3C3D27DF" w14:textId="77777777" w:rsidTr="00FB35AC">
        <w:tc>
          <w:tcPr>
            <w:tcW w:w="1002" w:type="dxa"/>
          </w:tcPr>
          <w:p w14:paraId="1D9D7680" w14:textId="77777777" w:rsidR="00FB35AC" w:rsidRPr="00096A22" w:rsidRDefault="00FB35AC" w:rsidP="00FB35AC">
            <w:pPr>
              <w:rPr>
                <w:sz w:val="18"/>
              </w:rPr>
            </w:pPr>
            <w:r w:rsidRPr="00096A22">
              <w:rPr>
                <w:sz w:val="18"/>
              </w:rPr>
              <w:t>17.8</w:t>
            </w:r>
          </w:p>
        </w:tc>
        <w:tc>
          <w:tcPr>
            <w:tcW w:w="7724" w:type="dxa"/>
          </w:tcPr>
          <w:p w14:paraId="3CD7C213" w14:textId="77777777" w:rsidR="00FB35AC" w:rsidRPr="00096A22" w:rsidRDefault="00FB35AC" w:rsidP="00FB35AC">
            <w:pPr>
              <w:rPr>
                <w:sz w:val="18"/>
              </w:rPr>
            </w:pPr>
            <w:r w:rsidRPr="00096A22">
              <w:rPr>
                <w:sz w:val="18"/>
              </w:rPr>
              <w:t>Fully operationalize the technology bank and science, technology and innovation capacity-building mechanism for least developed countries by 2017 and enhance the use of enabling technology, in particular information and communications technology</w:t>
            </w:r>
          </w:p>
        </w:tc>
      </w:tr>
      <w:tr w:rsidR="00FB35AC" w:rsidRPr="00096A22" w14:paraId="408D2E22" w14:textId="77777777" w:rsidTr="00FB35AC">
        <w:tc>
          <w:tcPr>
            <w:tcW w:w="1002" w:type="dxa"/>
          </w:tcPr>
          <w:p w14:paraId="112F6F1B" w14:textId="77777777" w:rsidR="00FB35AC" w:rsidRPr="00096A22" w:rsidRDefault="00FB35AC" w:rsidP="00FB35AC">
            <w:pPr>
              <w:rPr>
                <w:sz w:val="18"/>
              </w:rPr>
            </w:pPr>
            <w:r w:rsidRPr="00096A22">
              <w:rPr>
                <w:sz w:val="18"/>
              </w:rPr>
              <w:t>17.9</w:t>
            </w:r>
          </w:p>
        </w:tc>
        <w:tc>
          <w:tcPr>
            <w:tcW w:w="7724" w:type="dxa"/>
          </w:tcPr>
          <w:p w14:paraId="63C61129" w14:textId="77777777" w:rsidR="00FB35AC" w:rsidRPr="00096A22" w:rsidRDefault="00FB35AC" w:rsidP="00FB35AC">
            <w:pPr>
              <w:rPr>
                <w:b/>
                <w:sz w:val="18"/>
              </w:rPr>
            </w:pPr>
            <w:r w:rsidRPr="00096A22">
              <w:rPr>
                <w:b/>
                <w:sz w:val="18"/>
              </w:rPr>
              <w:t>Enhance international support for implementing effective and targeted capacity-building in developing countries to support national plans to implement all the sustainable development goals, including through North-South, South-South and triangular cooperation</w:t>
            </w:r>
          </w:p>
        </w:tc>
      </w:tr>
      <w:tr w:rsidR="00FB35AC" w:rsidRPr="00096A22" w14:paraId="2897FCC4" w14:textId="77777777" w:rsidTr="00FB35AC">
        <w:tc>
          <w:tcPr>
            <w:tcW w:w="1002" w:type="dxa"/>
          </w:tcPr>
          <w:p w14:paraId="032F98D6" w14:textId="77777777" w:rsidR="00FB35AC" w:rsidRPr="00096A22" w:rsidRDefault="00FB35AC" w:rsidP="00FB35AC">
            <w:pPr>
              <w:rPr>
                <w:sz w:val="18"/>
              </w:rPr>
            </w:pPr>
            <w:r w:rsidRPr="00096A22">
              <w:rPr>
                <w:sz w:val="18"/>
              </w:rPr>
              <w:t>17.10</w:t>
            </w:r>
          </w:p>
        </w:tc>
        <w:tc>
          <w:tcPr>
            <w:tcW w:w="7724" w:type="dxa"/>
          </w:tcPr>
          <w:p w14:paraId="5406EBFC" w14:textId="77777777" w:rsidR="00FB35AC" w:rsidRPr="00096A22" w:rsidRDefault="00FB35AC" w:rsidP="00FB35AC">
            <w:pPr>
              <w:rPr>
                <w:sz w:val="18"/>
              </w:rPr>
            </w:pPr>
            <w:r w:rsidRPr="00096A22">
              <w:rPr>
                <w:sz w:val="18"/>
              </w:rPr>
              <w:t>Promote a universal, rules-based, open, non-discriminatory and equitable multilateral trading system under the World Trade Organization, including through the conclusion of negotiations under its Doha Development Agenda</w:t>
            </w:r>
          </w:p>
        </w:tc>
      </w:tr>
      <w:tr w:rsidR="00FB35AC" w:rsidRPr="00096A22" w14:paraId="56DA0EFB" w14:textId="77777777" w:rsidTr="00FB35AC">
        <w:tc>
          <w:tcPr>
            <w:tcW w:w="1002" w:type="dxa"/>
          </w:tcPr>
          <w:p w14:paraId="69C8A9FE" w14:textId="77777777" w:rsidR="00FB35AC" w:rsidRPr="00096A22" w:rsidRDefault="00FB35AC" w:rsidP="00FB35AC">
            <w:pPr>
              <w:rPr>
                <w:sz w:val="18"/>
              </w:rPr>
            </w:pPr>
            <w:r w:rsidRPr="00096A22">
              <w:rPr>
                <w:sz w:val="18"/>
              </w:rPr>
              <w:t>17.11</w:t>
            </w:r>
          </w:p>
        </w:tc>
        <w:tc>
          <w:tcPr>
            <w:tcW w:w="7724" w:type="dxa"/>
          </w:tcPr>
          <w:p w14:paraId="522E575B" w14:textId="77777777" w:rsidR="00FB35AC" w:rsidRPr="00096A22" w:rsidRDefault="00FB35AC" w:rsidP="00FB35AC">
            <w:pPr>
              <w:rPr>
                <w:sz w:val="18"/>
              </w:rPr>
            </w:pPr>
            <w:r w:rsidRPr="00096A22">
              <w:rPr>
                <w:sz w:val="18"/>
              </w:rPr>
              <w:t>Significantly increase the exports of developing countries, in particular with a view to doubling the least developed countries’ share of global exports by 2020</w:t>
            </w:r>
          </w:p>
        </w:tc>
      </w:tr>
      <w:tr w:rsidR="00FB35AC" w:rsidRPr="00096A22" w14:paraId="5D341AF6" w14:textId="77777777" w:rsidTr="00FB35AC">
        <w:tc>
          <w:tcPr>
            <w:tcW w:w="1002" w:type="dxa"/>
          </w:tcPr>
          <w:p w14:paraId="067D939F" w14:textId="77777777" w:rsidR="00FB35AC" w:rsidRPr="00096A22" w:rsidRDefault="00FB35AC" w:rsidP="00FB35AC">
            <w:pPr>
              <w:rPr>
                <w:sz w:val="18"/>
              </w:rPr>
            </w:pPr>
            <w:r w:rsidRPr="00096A22">
              <w:rPr>
                <w:sz w:val="18"/>
              </w:rPr>
              <w:t>17.12</w:t>
            </w:r>
          </w:p>
        </w:tc>
        <w:tc>
          <w:tcPr>
            <w:tcW w:w="7724" w:type="dxa"/>
          </w:tcPr>
          <w:p w14:paraId="1A94E579" w14:textId="77777777" w:rsidR="00FB35AC" w:rsidRPr="00096A22" w:rsidRDefault="00FB35AC" w:rsidP="00FB35AC">
            <w:pPr>
              <w:rPr>
                <w:sz w:val="18"/>
              </w:rPr>
            </w:pPr>
            <w:r w:rsidRPr="00096A22">
              <w:rPr>
                <w:sz w:val="18"/>
              </w:rPr>
              <w:t>Realize timely implementation of duty-free and quota-free market access on a lasting basis for all least developed countries, consistent with World Trade Organization decisions, including by ensuring that preferential rules of origin applicable to imports from least developed countries are transparent and simple, and contribute to facilitating market access</w:t>
            </w:r>
          </w:p>
        </w:tc>
      </w:tr>
      <w:tr w:rsidR="00FB35AC" w:rsidRPr="00096A22" w14:paraId="5662EB53" w14:textId="77777777" w:rsidTr="00FB35AC">
        <w:tc>
          <w:tcPr>
            <w:tcW w:w="1002" w:type="dxa"/>
          </w:tcPr>
          <w:p w14:paraId="32FB3E90" w14:textId="77777777" w:rsidR="00FB35AC" w:rsidRPr="00096A22" w:rsidRDefault="00FB35AC" w:rsidP="00FB35AC">
            <w:pPr>
              <w:rPr>
                <w:sz w:val="18"/>
              </w:rPr>
            </w:pPr>
            <w:r w:rsidRPr="00096A22">
              <w:rPr>
                <w:sz w:val="18"/>
              </w:rPr>
              <w:t>17.13</w:t>
            </w:r>
          </w:p>
        </w:tc>
        <w:tc>
          <w:tcPr>
            <w:tcW w:w="7724" w:type="dxa"/>
          </w:tcPr>
          <w:p w14:paraId="6B9BE311" w14:textId="77777777" w:rsidR="00FB35AC" w:rsidRPr="00096A22" w:rsidRDefault="00FB35AC" w:rsidP="00FB35AC">
            <w:pPr>
              <w:rPr>
                <w:b/>
                <w:sz w:val="18"/>
              </w:rPr>
            </w:pPr>
            <w:r w:rsidRPr="00096A22">
              <w:rPr>
                <w:b/>
                <w:sz w:val="18"/>
              </w:rPr>
              <w:t>Enhance global macroeconomic stability, including through policy coordination and policy coherence</w:t>
            </w:r>
          </w:p>
        </w:tc>
      </w:tr>
      <w:tr w:rsidR="00FB35AC" w:rsidRPr="00096A22" w14:paraId="6F8F572F" w14:textId="77777777" w:rsidTr="00FB35AC">
        <w:tc>
          <w:tcPr>
            <w:tcW w:w="1002" w:type="dxa"/>
          </w:tcPr>
          <w:p w14:paraId="2BEABB93" w14:textId="77777777" w:rsidR="00FB35AC" w:rsidRPr="00096A22" w:rsidRDefault="00FB35AC" w:rsidP="00FB35AC">
            <w:pPr>
              <w:rPr>
                <w:sz w:val="18"/>
              </w:rPr>
            </w:pPr>
            <w:r w:rsidRPr="00096A22">
              <w:rPr>
                <w:sz w:val="18"/>
              </w:rPr>
              <w:t>17.14</w:t>
            </w:r>
          </w:p>
        </w:tc>
        <w:tc>
          <w:tcPr>
            <w:tcW w:w="7724" w:type="dxa"/>
          </w:tcPr>
          <w:p w14:paraId="672AC9DF" w14:textId="77777777" w:rsidR="00FB35AC" w:rsidRPr="00096A22" w:rsidRDefault="00FB35AC" w:rsidP="00FB35AC">
            <w:pPr>
              <w:rPr>
                <w:b/>
                <w:sz w:val="18"/>
              </w:rPr>
            </w:pPr>
            <w:r w:rsidRPr="00096A22">
              <w:rPr>
                <w:b/>
                <w:sz w:val="18"/>
              </w:rPr>
              <w:t>Enhance policy coherence for sustainable development</w:t>
            </w:r>
          </w:p>
        </w:tc>
      </w:tr>
      <w:tr w:rsidR="00FB35AC" w:rsidRPr="00096A22" w14:paraId="5769C0F3" w14:textId="77777777" w:rsidTr="00FB35AC">
        <w:tc>
          <w:tcPr>
            <w:tcW w:w="1002" w:type="dxa"/>
          </w:tcPr>
          <w:p w14:paraId="6910AAD8" w14:textId="77777777" w:rsidR="00FB35AC" w:rsidRPr="00096A22" w:rsidRDefault="00FB35AC" w:rsidP="00FB35AC">
            <w:pPr>
              <w:rPr>
                <w:sz w:val="18"/>
              </w:rPr>
            </w:pPr>
            <w:r w:rsidRPr="00096A22">
              <w:rPr>
                <w:sz w:val="18"/>
              </w:rPr>
              <w:lastRenderedPageBreak/>
              <w:t>17.15</w:t>
            </w:r>
          </w:p>
        </w:tc>
        <w:tc>
          <w:tcPr>
            <w:tcW w:w="7724" w:type="dxa"/>
          </w:tcPr>
          <w:p w14:paraId="3F771B94" w14:textId="77777777" w:rsidR="00FB35AC" w:rsidRPr="00096A22" w:rsidRDefault="00FB35AC" w:rsidP="00FB35AC">
            <w:pPr>
              <w:rPr>
                <w:sz w:val="18"/>
              </w:rPr>
            </w:pPr>
            <w:r w:rsidRPr="00096A22">
              <w:rPr>
                <w:sz w:val="18"/>
              </w:rPr>
              <w:t>Respect each country’s policy space and leadership to establish and implement policies for poverty eradication and sustainable development</w:t>
            </w:r>
          </w:p>
        </w:tc>
      </w:tr>
      <w:tr w:rsidR="00FB35AC" w:rsidRPr="00096A22" w14:paraId="2781FA08" w14:textId="77777777" w:rsidTr="00FB35AC">
        <w:tc>
          <w:tcPr>
            <w:tcW w:w="1002" w:type="dxa"/>
          </w:tcPr>
          <w:p w14:paraId="0F1C0F5C" w14:textId="77777777" w:rsidR="00FB35AC" w:rsidRPr="00096A22" w:rsidRDefault="00FB35AC" w:rsidP="00FB35AC">
            <w:pPr>
              <w:rPr>
                <w:sz w:val="18"/>
              </w:rPr>
            </w:pPr>
            <w:r w:rsidRPr="00096A22">
              <w:rPr>
                <w:sz w:val="18"/>
              </w:rPr>
              <w:t>17.16</w:t>
            </w:r>
          </w:p>
        </w:tc>
        <w:tc>
          <w:tcPr>
            <w:tcW w:w="7724" w:type="dxa"/>
          </w:tcPr>
          <w:p w14:paraId="4285F12C" w14:textId="77777777" w:rsidR="00FB35AC" w:rsidRPr="00096A22" w:rsidRDefault="00FB35AC" w:rsidP="00FB35AC">
            <w:pPr>
              <w:rPr>
                <w:b/>
                <w:sz w:val="18"/>
              </w:rPr>
            </w:pPr>
            <w:r w:rsidRPr="00096A22">
              <w:rPr>
                <w:b/>
                <w:sz w:val="18"/>
              </w:rPr>
              <w:t>Enhance the global partnership for sustainable development, complemented by multi-stakeholder partnerships that mobilize and share knowledge, expertise, technology and financial resources, to support the achievement of the sustainable development goals in all countries, in particular developing countries</w:t>
            </w:r>
          </w:p>
        </w:tc>
      </w:tr>
      <w:tr w:rsidR="00FB35AC" w:rsidRPr="00096A22" w14:paraId="43A100BF" w14:textId="77777777" w:rsidTr="00FB35AC">
        <w:tc>
          <w:tcPr>
            <w:tcW w:w="1002" w:type="dxa"/>
          </w:tcPr>
          <w:p w14:paraId="4061BE9A" w14:textId="77777777" w:rsidR="00FB35AC" w:rsidRPr="00096A22" w:rsidRDefault="00FB35AC" w:rsidP="00FB35AC">
            <w:pPr>
              <w:rPr>
                <w:sz w:val="18"/>
              </w:rPr>
            </w:pPr>
            <w:r w:rsidRPr="00096A22">
              <w:rPr>
                <w:sz w:val="18"/>
              </w:rPr>
              <w:t>17.17</w:t>
            </w:r>
          </w:p>
        </w:tc>
        <w:tc>
          <w:tcPr>
            <w:tcW w:w="7724" w:type="dxa"/>
          </w:tcPr>
          <w:p w14:paraId="00D9EE8B" w14:textId="77777777" w:rsidR="00FB35AC" w:rsidRPr="00096A22" w:rsidRDefault="00FB35AC" w:rsidP="00FB35AC">
            <w:pPr>
              <w:rPr>
                <w:b/>
                <w:sz w:val="18"/>
              </w:rPr>
            </w:pPr>
            <w:r w:rsidRPr="00096A22">
              <w:rPr>
                <w:b/>
                <w:sz w:val="18"/>
              </w:rPr>
              <w:t>Encourage and promote effective public, public-private and civil society partnerships, building on the experience and resourcing strategies of partnerships</w:t>
            </w:r>
          </w:p>
        </w:tc>
      </w:tr>
      <w:tr w:rsidR="00FB35AC" w:rsidRPr="00096A22" w14:paraId="6AB71D2D" w14:textId="77777777" w:rsidTr="00FB35AC">
        <w:tc>
          <w:tcPr>
            <w:tcW w:w="1002" w:type="dxa"/>
          </w:tcPr>
          <w:p w14:paraId="12A66659" w14:textId="77777777" w:rsidR="00FB35AC" w:rsidRPr="00096A22" w:rsidRDefault="00FB35AC" w:rsidP="00FB35AC">
            <w:pPr>
              <w:rPr>
                <w:sz w:val="18"/>
              </w:rPr>
            </w:pPr>
            <w:r w:rsidRPr="00096A22">
              <w:rPr>
                <w:sz w:val="18"/>
              </w:rPr>
              <w:t>17.18</w:t>
            </w:r>
          </w:p>
        </w:tc>
        <w:tc>
          <w:tcPr>
            <w:tcW w:w="7724" w:type="dxa"/>
          </w:tcPr>
          <w:p w14:paraId="14B123CD" w14:textId="77777777" w:rsidR="00FB35AC" w:rsidRPr="00096A22" w:rsidRDefault="00FB35AC" w:rsidP="00FB35AC">
            <w:pPr>
              <w:rPr>
                <w:sz w:val="18"/>
              </w:rPr>
            </w:pPr>
            <w:r w:rsidRPr="00096A22">
              <w:rPr>
                <w:sz w:val="18"/>
              </w:rPr>
              <w:t>By 2020, enhance capacity-building support to developing countries, including for least developed countries and small island developing States, to increase significantly the availability of high-quality, timely and reliable data disaggregated by income, gender, age, race, ethnicity, migratory status, disability, geographic location and other characteristics relevant in national contexts</w:t>
            </w:r>
          </w:p>
        </w:tc>
      </w:tr>
      <w:tr w:rsidR="00FB35AC" w:rsidRPr="00096A22" w14:paraId="3363A2BC" w14:textId="77777777" w:rsidTr="00FB35AC">
        <w:tc>
          <w:tcPr>
            <w:tcW w:w="1002" w:type="dxa"/>
          </w:tcPr>
          <w:p w14:paraId="0DE73FE9" w14:textId="77777777" w:rsidR="00FB35AC" w:rsidRPr="00096A22" w:rsidRDefault="00FB35AC" w:rsidP="00FB35AC">
            <w:pPr>
              <w:rPr>
                <w:sz w:val="18"/>
              </w:rPr>
            </w:pPr>
            <w:r w:rsidRPr="00096A22">
              <w:rPr>
                <w:sz w:val="18"/>
              </w:rPr>
              <w:t>17.19</w:t>
            </w:r>
          </w:p>
        </w:tc>
        <w:tc>
          <w:tcPr>
            <w:tcW w:w="7724" w:type="dxa"/>
          </w:tcPr>
          <w:p w14:paraId="7B8B8B15" w14:textId="77777777" w:rsidR="00FB35AC" w:rsidRPr="00096A22" w:rsidRDefault="00FB35AC" w:rsidP="00FB35AC">
            <w:pPr>
              <w:rPr>
                <w:sz w:val="18"/>
              </w:rPr>
            </w:pPr>
            <w:r w:rsidRPr="00096A22">
              <w:rPr>
                <w:sz w:val="18"/>
              </w:rPr>
              <w:t>By 2030, build on existing initiatives to develop measurements of progress on sustainable development that complement gross domestic product, and support statistical capacity-building in developing countries</w:t>
            </w:r>
          </w:p>
        </w:tc>
      </w:tr>
    </w:tbl>
    <w:p w14:paraId="1066D4C0" w14:textId="77777777" w:rsidR="00013C53" w:rsidRPr="00096A22" w:rsidRDefault="00013C53" w:rsidP="00013C53"/>
    <w:p w14:paraId="53FC840B" w14:textId="4FD2F8C6" w:rsidR="005E1D73" w:rsidRDefault="00013C53" w:rsidP="00667874">
      <w:r w:rsidRPr="00096A22">
        <w:t xml:space="preserve">We also include in our review a number of targets from SDG 16 on peace, justice and strong institutions, and </w:t>
      </w:r>
      <w:r w:rsidR="005E1D73">
        <w:t xml:space="preserve">from </w:t>
      </w:r>
      <w:r w:rsidRPr="00096A22">
        <w:t>SDG 9 on industry, innovation and infrastructure. These are:</w:t>
      </w:r>
    </w:p>
    <w:p w14:paraId="19627FFA" w14:textId="62F000CD" w:rsidR="005E1D73" w:rsidRPr="009620F8" w:rsidRDefault="00013C53" w:rsidP="007344DD">
      <w:pPr>
        <w:pStyle w:val="ListBullet"/>
      </w:pPr>
      <w:r w:rsidRPr="00560B94">
        <w:t>16.3</w:t>
      </w:r>
      <w:r w:rsidR="005E1D73">
        <w:t xml:space="preserve">: </w:t>
      </w:r>
      <w:r w:rsidRPr="00560B94">
        <w:t>Promote the rule of law at the national and international levels and ensure equal access to justice for all</w:t>
      </w:r>
    </w:p>
    <w:p w14:paraId="72D45576" w14:textId="5202C1F9" w:rsidR="005E1D73" w:rsidRPr="009620F8" w:rsidRDefault="00013C53" w:rsidP="007344DD">
      <w:pPr>
        <w:pStyle w:val="ListBullet"/>
      </w:pPr>
      <w:r w:rsidRPr="00C7502D">
        <w:t>16.5</w:t>
      </w:r>
      <w:r w:rsidR="005E1D73">
        <w:t xml:space="preserve">: </w:t>
      </w:r>
      <w:r w:rsidRPr="00560B94">
        <w:t>Substantially reduce corruption and bribery in all their forms</w:t>
      </w:r>
    </w:p>
    <w:p w14:paraId="56DF802F" w14:textId="4ED84A71" w:rsidR="005E1D73" w:rsidRPr="009620F8" w:rsidRDefault="00013C53" w:rsidP="007344DD">
      <w:pPr>
        <w:pStyle w:val="ListBullet"/>
      </w:pPr>
      <w:r w:rsidRPr="00C7502D">
        <w:t>16.6</w:t>
      </w:r>
      <w:r w:rsidR="005E1D73">
        <w:t>:</w:t>
      </w:r>
      <w:r w:rsidRPr="00C7502D">
        <w:t xml:space="preserve"> Develop effective, accountable and transparent institutions at all levels</w:t>
      </w:r>
    </w:p>
    <w:p w14:paraId="57456FB4" w14:textId="5AACBAD9" w:rsidR="005E1D73" w:rsidRPr="009620F8" w:rsidRDefault="00013C53" w:rsidP="007344DD">
      <w:pPr>
        <w:pStyle w:val="ListBullet"/>
      </w:pPr>
      <w:r w:rsidRPr="00C7502D">
        <w:t>9.5</w:t>
      </w:r>
      <w:r w:rsidR="005E1D73">
        <w:t>:</w:t>
      </w:r>
      <w:r w:rsidRPr="00C7502D">
        <w:t xml:space="preserve"> Enhance scientific research, upgrade the technological capabilities of industrial sectors in all countries, in particular developing countries, including, by 2030, encouragin</w:t>
      </w:r>
      <w:r w:rsidRPr="00560B94">
        <w:t>g innovation and substantially increasing the number of research and development workers per 1 million people and public and private research and development spending</w:t>
      </w:r>
    </w:p>
    <w:p w14:paraId="1DDB240F" w14:textId="3643289A" w:rsidR="005E1D73" w:rsidRPr="009620F8" w:rsidRDefault="00013C53" w:rsidP="007344DD">
      <w:pPr>
        <w:pStyle w:val="ListBullet"/>
      </w:pPr>
      <w:r w:rsidRPr="00C7502D">
        <w:t>9</w:t>
      </w:r>
      <w:r w:rsidR="005E1D73">
        <w:t>.A:</w:t>
      </w:r>
      <w:r w:rsidRPr="00560B94">
        <w:t xml:space="preserve"> Facilitate sustainable and resilient infrastructure development in developing countries through enhanced financial, technological and technical support to African countries, least developed countries, landlocked developing countries and small island developing States</w:t>
      </w:r>
    </w:p>
    <w:p w14:paraId="7B031ADA" w14:textId="5260C06F" w:rsidR="00667874" w:rsidRPr="009620F8" w:rsidRDefault="00013C53" w:rsidP="007344DD">
      <w:pPr>
        <w:pStyle w:val="ListBullet"/>
      </w:pPr>
      <w:r w:rsidRPr="00C7502D">
        <w:t>9</w:t>
      </w:r>
      <w:r w:rsidR="005E1D73">
        <w:t>.B:</w:t>
      </w:r>
      <w:r w:rsidRPr="00560B94">
        <w:t xml:space="preserve"> Support domestic technology development, research and innovation in developing countries, including by ensuring a conducive policy environment for, inter alia, industrial diversification and value addition to commodities</w:t>
      </w:r>
    </w:p>
    <w:p w14:paraId="412A215E" w14:textId="77777777" w:rsidR="00667874" w:rsidRPr="00096A22" w:rsidRDefault="00667874" w:rsidP="00667874">
      <w:pPr>
        <w:pStyle w:val="Heading2"/>
      </w:pPr>
      <w:bookmarkStart w:id="19" w:name="_Toc529789832"/>
      <w:r w:rsidRPr="00096A22">
        <w:t>Method and approach</w:t>
      </w:r>
      <w:bookmarkEnd w:id="19"/>
    </w:p>
    <w:p w14:paraId="084EFCE0" w14:textId="682B940E" w:rsidR="00BA68A9" w:rsidRPr="00096A22" w:rsidRDefault="00BA68A9" w:rsidP="00BA68A9">
      <w:r w:rsidRPr="00096A22">
        <w:t>SDG 1</w:t>
      </w:r>
      <w:r w:rsidR="00543F24" w:rsidRPr="00096A22">
        <w:t>7</w:t>
      </w:r>
      <w:r w:rsidRPr="00096A22">
        <w:t xml:space="preserve"> was selected as one of three SDGs for which we test this review approach. This review should therefore be seen as a first attempt to identify research needs. The scope of this study did not allow for an exhaustive or in-depth assessment of the state of knowledge.</w:t>
      </w:r>
    </w:p>
    <w:p w14:paraId="5947DC2A" w14:textId="77777777" w:rsidR="00BA68A9" w:rsidRPr="00096A22" w:rsidRDefault="00BA68A9" w:rsidP="00BA68A9">
      <w:r w:rsidRPr="00096A22">
        <w:lastRenderedPageBreak/>
        <w:t xml:space="preserve">The first step was to </w:t>
      </w:r>
      <w:r w:rsidRPr="00096A22">
        <w:rPr>
          <w:b/>
        </w:rPr>
        <w:t>identify key themes</w:t>
      </w:r>
      <w:r w:rsidRPr="00096A22">
        <w:t xml:space="preserve"> among the SDG 1</w:t>
      </w:r>
      <w:r w:rsidR="006A6DB2" w:rsidRPr="00096A22">
        <w:t>7</w:t>
      </w:r>
      <w:r w:rsidRPr="00096A22">
        <w:t xml:space="preserve"> targets, in order to reduce the number of targets and to find broader knowledge areas that relate to several targets. The criteria and approach for selecting these key themes are described below.</w:t>
      </w:r>
    </w:p>
    <w:p w14:paraId="34D61957" w14:textId="7CE16EBA" w:rsidR="00BA68A9" w:rsidRPr="00096A22" w:rsidRDefault="00BA68A9" w:rsidP="00BA68A9">
      <w:r w:rsidRPr="00096A22">
        <w:t xml:space="preserve">The second step was to conduct a </w:t>
      </w:r>
      <w:r w:rsidRPr="00096A22">
        <w:rPr>
          <w:b/>
        </w:rPr>
        <w:t>literature review</w:t>
      </w:r>
      <w:r w:rsidRPr="00096A22">
        <w:t>, to identify research needs explicitly or implicitly defined in existing literature. A key challenge</w:t>
      </w:r>
      <w:r w:rsidR="00E3402C">
        <w:t xml:space="preserve"> – </w:t>
      </w:r>
      <w:r w:rsidR="0010525E" w:rsidRPr="00096A22">
        <w:t>given</w:t>
      </w:r>
      <w:r w:rsidR="00E3402C">
        <w:t xml:space="preserve"> </w:t>
      </w:r>
      <w:r w:rsidRPr="00096A22">
        <w:t>the breadth of the SDG and its targets</w:t>
      </w:r>
      <w:r w:rsidR="00E3402C">
        <w:t xml:space="preserve"> –</w:t>
      </w:r>
      <w:r w:rsidRPr="00096A22">
        <w:t xml:space="preserve"> </w:t>
      </w:r>
      <w:r w:rsidR="0010525E" w:rsidRPr="00096A22">
        <w:t>is</w:t>
      </w:r>
      <w:r w:rsidR="00E3402C">
        <w:t xml:space="preserve"> </w:t>
      </w:r>
      <w:r w:rsidRPr="00096A22">
        <w:t xml:space="preserve">that there is a very wide scope of scientific and grey literature to cover. For this reason, the review </w:t>
      </w:r>
      <w:r w:rsidR="006A6DB2" w:rsidRPr="00096A22">
        <w:t>initially</w:t>
      </w:r>
      <w:r w:rsidRPr="00096A22">
        <w:t xml:space="preserve"> searched for secondary sources, in the sense of existing scientific assessments and synthesis reports. Based on these more general assessments and syntheses, more in-depth knowledge and analysis was gathered through searches for more specific peer-reviewed journal articles.</w:t>
      </w:r>
    </w:p>
    <w:p w14:paraId="1496EF88" w14:textId="6F61D0C0" w:rsidR="00BA68A9" w:rsidRPr="00096A22" w:rsidRDefault="00BA68A9" w:rsidP="00BA68A9">
      <w:r w:rsidRPr="00096A22">
        <w:t xml:space="preserve">The third step was to organise an </w:t>
      </w:r>
      <w:r w:rsidRPr="00096A22">
        <w:rPr>
          <w:b/>
        </w:rPr>
        <w:t>expert workshop</w:t>
      </w:r>
      <w:r w:rsidRPr="00096A22">
        <w:t xml:space="preserve">, held on </w:t>
      </w:r>
      <w:r w:rsidR="006A6DB2" w:rsidRPr="00096A22">
        <w:t>7</w:t>
      </w:r>
      <w:r w:rsidRPr="00096A22">
        <w:t xml:space="preserve"> May 2018 in Stockholm. The workshop included experts from both science and policy/practice. The task of the workshop was to identify high-priority research needs, based on</w:t>
      </w:r>
      <w:r w:rsidR="006A6DB2" w:rsidRPr="00096A22">
        <w:t>,</w:t>
      </w:r>
      <w:r w:rsidRPr="00096A22">
        <w:t xml:space="preserve"> but not limited to</w:t>
      </w:r>
      <w:r w:rsidR="006A6DB2" w:rsidRPr="00096A22">
        <w:t>,</w:t>
      </w:r>
      <w:r w:rsidRPr="00096A22">
        <w:t xml:space="preserve"> preliminary findings of the literature review. Results from the workshop are incorporated in this review</w:t>
      </w:r>
      <w:r w:rsidR="00A373A5" w:rsidRPr="00096A22">
        <w:t xml:space="preserve"> at the end of each section addressing the four themes of the report</w:t>
      </w:r>
      <w:r w:rsidRPr="00096A22">
        <w:t>.</w:t>
      </w:r>
      <w:r w:rsidR="00A373A5" w:rsidRPr="00096A22">
        <w:t xml:space="preserve"> All the topics raised by experts that do not fit into our four themes are summarised in Section 7 at the end of the report.</w:t>
      </w:r>
    </w:p>
    <w:p w14:paraId="7D6FEE79" w14:textId="40F6CF0D" w:rsidR="00BA68A9" w:rsidRPr="00096A22" w:rsidRDefault="00BA68A9" w:rsidP="00BA68A9">
      <w:r w:rsidRPr="00096A22">
        <w:t xml:space="preserve">Reflecting on the method and approach, a number of </w:t>
      </w:r>
      <w:r w:rsidRPr="00096A22">
        <w:rPr>
          <w:b/>
        </w:rPr>
        <w:t>challenges and limitations</w:t>
      </w:r>
      <w:r w:rsidRPr="00096A22">
        <w:t xml:space="preserve"> should be noted. First, as mentioned, the SDG targets are very broad in nature and cover vast areas of </w:t>
      </w:r>
      <w:r w:rsidR="006A6DB2" w:rsidRPr="00096A22">
        <w:t xml:space="preserve">potentially relevant </w:t>
      </w:r>
      <w:r w:rsidRPr="00096A22">
        <w:t>knowledge, and exhaustive reviews are inevitably difficult. Second, the SDG targets are a result of international negotiation, and as such may not reflect local or national sustainable development priorities and problems. While the SDGs and targets are considerably broad, there may thus still be gaps from local and national perspectives.</w:t>
      </w:r>
    </w:p>
    <w:p w14:paraId="4A1C8F64" w14:textId="22787B73" w:rsidR="00BA68A9" w:rsidRPr="00096A22" w:rsidRDefault="00BA68A9" w:rsidP="00BA68A9">
      <w:r w:rsidRPr="00096A22">
        <w:t xml:space="preserve">A third challenge was to ensure that the </w:t>
      </w:r>
      <w:r w:rsidR="006A6DB2" w:rsidRPr="00096A22">
        <w:t>resulting report</w:t>
      </w:r>
      <w:r w:rsidRPr="00096A22">
        <w:t xml:space="preserve"> is relevant and accessible to </w:t>
      </w:r>
      <w:r w:rsidR="00337B36">
        <w:t>diverse</w:t>
      </w:r>
      <w:r w:rsidRPr="00096A22">
        <w:t xml:space="preserve"> target groups. </w:t>
      </w:r>
      <w:r w:rsidR="00715A3B">
        <w:t>This required</w:t>
      </w:r>
      <w:r w:rsidRPr="00096A22">
        <w:t xml:space="preserve"> </w:t>
      </w:r>
      <w:r w:rsidR="00715A3B">
        <w:t>a</w:t>
      </w:r>
      <w:r w:rsidRPr="00096A22">
        <w:t xml:space="preserve"> balance between avoid</w:t>
      </w:r>
      <w:r w:rsidR="00715A3B">
        <w:t>ing</w:t>
      </w:r>
      <w:r w:rsidRPr="00096A22">
        <w:t xml:space="preserve"> technical terms to make the analysis accessible to policy-makers, and ensur</w:t>
      </w:r>
      <w:r w:rsidR="00715A3B">
        <w:t>ing</w:t>
      </w:r>
      <w:r w:rsidRPr="00096A22">
        <w:t xml:space="preserve"> enough scientific substance for the analysis to be of interest for researchers in the field. Finally,</w:t>
      </w:r>
      <w:r w:rsidR="005C23C3">
        <w:t xml:space="preserve"> a fourth challenge is the high plausibility that</w:t>
      </w:r>
      <w:r w:rsidRPr="00096A22">
        <w:t xml:space="preserve"> a systematic literature review in relation to SDG 1</w:t>
      </w:r>
      <w:r w:rsidR="006A6DB2" w:rsidRPr="00096A22">
        <w:t>7</w:t>
      </w:r>
      <w:r w:rsidRPr="00096A22">
        <w:t xml:space="preserve"> could be subject to publication bias, data availability bias and reviewer selection bias. While we do not claim to provide a systematic literature review, these common types of bias remind us that an initial literature review like this</w:t>
      </w:r>
      <w:r w:rsidR="005C23C3">
        <w:t xml:space="preserve"> one must emphasise</w:t>
      </w:r>
      <w:r w:rsidRPr="00096A22">
        <w:t xml:space="preserve"> two key limitations: (i) only a limited part of the relevant literature has been reviewed; and (ii) when considering research gaps, we report on </w:t>
      </w:r>
      <w:r w:rsidR="005C23C3">
        <w:t>“</w:t>
      </w:r>
      <w:r w:rsidRPr="00096A22">
        <w:t>known unknowns</w:t>
      </w:r>
      <w:r w:rsidR="005C23C3">
        <w:t>”</w:t>
      </w:r>
      <w:r w:rsidRPr="00096A22">
        <w:t xml:space="preserve"> rather than </w:t>
      </w:r>
      <w:r w:rsidR="005C23C3">
        <w:t>“</w:t>
      </w:r>
      <w:r w:rsidRPr="00096A22">
        <w:t>unknown unknowns</w:t>
      </w:r>
      <w:r w:rsidR="005C23C3">
        <w:t>”</w:t>
      </w:r>
      <w:r w:rsidRPr="00096A22">
        <w:t>.</w:t>
      </w:r>
    </w:p>
    <w:p w14:paraId="44B5DDD9" w14:textId="77777777" w:rsidR="00667874" w:rsidRPr="00096A22" w:rsidRDefault="00667874" w:rsidP="007344DD">
      <w:pPr>
        <w:pStyle w:val="Heading3"/>
        <w:numPr>
          <w:ilvl w:val="0"/>
          <w:numId w:val="0"/>
        </w:numPr>
        <w:ind w:left="720" w:hanging="720"/>
      </w:pPr>
      <w:bookmarkStart w:id="20" w:name="_Toc529789833"/>
      <w:r w:rsidRPr="00096A22">
        <w:t>Identifying key themes</w:t>
      </w:r>
      <w:bookmarkEnd w:id="20"/>
    </w:p>
    <w:p w14:paraId="100CA49A" w14:textId="30E31DC0" w:rsidR="00BA68A9" w:rsidRPr="00096A22" w:rsidRDefault="00BA68A9" w:rsidP="00BA68A9">
      <w:pPr>
        <w:spacing w:after="0" w:line="240" w:lineRule="auto"/>
      </w:pPr>
      <w:r w:rsidRPr="00096A22">
        <w:t xml:space="preserve">For </w:t>
      </w:r>
      <w:r w:rsidR="00DC172A">
        <w:t>each of the</w:t>
      </w:r>
      <w:r w:rsidR="00DC172A" w:rsidRPr="00096A22">
        <w:t xml:space="preserve"> </w:t>
      </w:r>
      <w:r w:rsidRPr="00096A22">
        <w:t>three SDGs reviewed in this project, the same set of criteria were applied for identification of key themes among targets:</w:t>
      </w:r>
    </w:p>
    <w:p w14:paraId="50136875" w14:textId="4DA0F66E" w:rsidR="00BA68A9" w:rsidRPr="00096A22" w:rsidRDefault="00BA68A9" w:rsidP="00BA68A9">
      <w:pPr>
        <w:pStyle w:val="ListParagraph"/>
        <w:numPr>
          <w:ilvl w:val="0"/>
          <w:numId w:val="37"/>
        </w:numPr>
        <w:spacing w:after="0" w:line="240" w:lineRule="auto"/>
        <w:rPr>
          <w:b w:val="0"/>
        </w:rPr>
      </w:pPr>
      <w:r w:rsidRPr="00096A22">
        <w:rPr>
          <w:b w:val="0"/>
        </w:rPr>
        <w:t>Targets where lack of knowledge or research is not a critical barrier were excluded (e.g., targets for implementing a</w:t>
      </w:r>
      <w:r w:rsidR="00B768BC" w:rsidRPr="00096A22">
        <w:rPr>
          <w:b w:val="0"/>
        </w:rPr>
        <w:t>n</w:t>
      </w:r>
      <w:r w:rsidRPr="00096A22">
        <w:rPr>
          <w:b w:val="0"/>
        </w:rPr>
        <w:t xml:space="preserve"> international political agreement);</w:t>
      </w:r>
    </w:p>
    <w:p w14:paraId="139B3968" w14:textId="7BE43B50" w:rsidR="00BA68A9" w:rsidRPr="00096A22" w:rsidRDefault="00BA68A9" w:rsidP="00BA68A9">
      <w:pPr>
        <w:pStyle w:val="ListParagraph"/>
        <w:numPr>
          <w:ilvl w:val="0"/>
          <w:numId w:val="37"/>
        </w:numPr>
        <w:rPr>
          <w:b w:val="0"/>
        </w:rPr>
      </w:pPr>
      <w:r w:rsidRPr="00096A22">
        <w:rPr>
          <w:b w:val="0"/>
        </w:rPr>
        <w:t>Targets which address similar issues and share a knowledge domain were clustered together;</w:t>
      </w:r>
    </w:p>
    <w:p w14:paraId="44F609A5" w14:textId="77777777" w:rsidR="00BA68A9" w:rsidRPr="00096A22" w:rsidRDefault="00BA68A9" w:rsidP="00BA68A9">
      <w:pPr>
        <w:pStyle w:val="ListParagraph"/>
        <w:numPr>
          <w:ilvl w:val="0"/>
          <w:numId w:val="37"/>
        </w:numPr>
        <w:rPr>
          <w:b w:val="0"/>
        </w:rPr>
      </w:pPr>
      <w:r w:rsidRPr="00096A22">
        <w:rPr>
          <w:b w:val="0"/>
        </w:rPr>
        <w:t xml:space="preserve">In some cases, our identified themes interpret or expand on the stated targets, namely to i) adapt targets to a Swedish context, and ii) look at the more general </w:t>
      </w:r>
      <w:r w:rsidRPr="00096A22">
        <w:rPr>
          <w:b w:val="0"/>
        </w:rPr>
        <w:lastRenderedPageBreak/>
        <w:t>sustainability issues implied by the goal but not necessarily reflected by the targets;</w:t>
      </w:r>
    </w:p>
    <w:p w14:paraId="2DDCE7FE" w14:textId="6448B873" w:rsidR="00BA68A9" w:rsidRPr="00096A22" w:rsidRDefault="00BA68A9" w:rsidP="00BA68A9">
      <w:pPr>
        <w:pStyle w:val="ListParagraph"/>
        <w:numPr>
          <w:ilvl w:val="0"/>
          <w:numId w:val="37"/>
        </w:numPr>
        <w:rPr>
          <w:b w:val="0"/>
        </w:rPr>
      </w:pPr>
      <w:r w:rsidRPr="00096A22">
        <w:rPr>
          <w:b w:val="0"/>
        </w:rPr>
        <w:t xml:space="preserve">In some cases, a smaller selection of targets </w:t>
      </w:r>
      <w:r w:rsidR="00B768BC" w:rsidRPr="00096A22">
        <w:rPr>
          <w:b w:val="0"/>
        </w:rPr>
        <w:t>was</w:t>
      </w:r>
      <w:r w:rsidRPr="00096A22">
        <w:rPr>
          <w:b w:val="0"/>
        </w:rPr>
        <w:t xml:space="preserve"> prioritised due to</w:t>
      </w:r>
      <w:r w:rsidR="00B75975">
        <w:rPr>
          <w:b w:val="0"/>
        </w:rPr>
        <w:t xml:space="preserve"> the</w:t>
      </w:r>
      <w:r w:rsidRPr="00096A22">
        <w:rPr>
          <w:b w:val="0"/>
        </w:rPr>
        <w:t xml:space="preserve"> limited scope and resources of our study.</w:t>
      </w:r>
    </w:p>
    <w:p w14:paraId="0EBCC814" w14:textId="1521BC06" w:rsidR="00667874" w:rsidRPr="00096A22" w:rsidRDefault="00667874" w:rsidP="00667874">
      <w:r w:rsidRPr="00096A22">
        <w:t>This</w:t>
      </w:r>
      <w:r w:rsidR="00AF7D91" w:rsidRPr="00096A22">
        <w:t xml:space="preserve"> particular</w:t>
      </w:r>
      <w:r w:rsidRPr="00096A22">
        <w:t xml:space="preserve"> literature review </w:t>
      </w:r>
      <w:r w:rsidR="00AF7D91" w:rsidRPr="00096A22">
        <w:t>of SDG 17</w:t>
      </w:r>
      <w:r w:rsidR="00D33A8F" w:rsidRPr="00096A22">
        <w:t xml:space="preserve"> </w:t>
      </w:r>
      <w:r w:rsidRPr="00096A22">
        <w:t>focuses on a sub-selection of the 19 targets, concentrating on those targets that point clearly to research areas that can make important contributions to the achievement of the SDGs. The review identifies areas of research interest within both developing and developed country contexts and research areas that could contribute to improving international partnerships for the achievement of SDGs.</w:t>
      </w:r>
    </w:p>
    <w:p w14:paraId="7B5461B5" w14:textId="55E57E87" w:rsidR="00667874" w:rsidRPr="00096A22" w:rsidRDefault="00667874" w:rsidP="00667874">
      <w:r w:rsidRPr="00096A22">
        <w:t xml:space="preserve">Four themes have been identified covering a selection of the targets from SDG 17 and in some cases targets from other related SDGs. The first theme is on improvements in </w:t>
      </w:r>
      <w:r w:rsidRPr="00096A22">
        <w:rPr>
          <w:b/>
        </w:rPr>
        <w:t>public administration and the quality of government</w:t>
      </w:r>
      <w:r w:rsidRPr="00096A22">
        <w:t>, including improvements in government revenue collection.</w:t>
      </w:r>
      <w:r w:rsidR="004A7123">
        <w:t xml:space="preserve"> </w:t>
      </w:r>
      <w:r w:rsidRPr="00096A22">
        <w:t>This theme addresses SDGs 17.1 and 17.9, and also targets 16.3, 16.5</w:t>
      </w:r>
      <w:r w:rsidR="000C76B6">
        <w:t xml:space="preserve"> and</w:t>
      </w:r>
      <w:r w:rsidRPr="00096A22">
        <w:t xml:space="preserve"> 16.6 with their focus on effective, accountable and inclusive institutions (</w:t>
      </w:r>
      <w:r w:rsidR="00653FE7">
        <w:t>SDG</w:t>
      </w:r>
      <w:r w:rsidRPr="00096A22">
        <w:t xml:space="preserve"> 16 addresses peace, justice, and strong institutions).</w:t>
      </w:r>
      <w:r w:rsidR="004A7123">
        <w:t xml:space="preserve"> </w:t>
      </w:r>
      <w:r w:rsidRPr="00096A22">
        <w:t xml:space="preserve">The second theme is on </w:t>
      </w:r>
      <w:r w:rsidRPr="00096A22">
        <w:rPr>
          <w:b/>
        </w:rPr>
        <w:t>policy coherence</w:t>
      </w:r>
      <w:r w:rsidRPr="00096A22">
        <w:t xml:space="preserve"> in the implementation of SDG goals and targets, and addresses targets 17.13 and 17.14. The third theme addresses </w:t>
      </w:r>
      <w:r w:rsidRPr="00096A22">
        <w:rPr>
          <w:b/>
        </w:rPr>
        <w:t>access to technology</w:t>
      </w:r>
      <w:r w:rsidRPr="00096A22">
        <w:t xml:space="preserve"> and covers SDGs 17.6 and 17.7 and targets 9.5, 9.a and 9.b from SDG 9, which covers industry, innovation, and infrastructure. The fourth and final theme is </w:t>
      </w:r>
      <w:r w:rsidRPr="00096A22">
        <w:rPr>
          <w:b/>
        </w:rPr>
        <w:t>multi-stakeholder partnerships</w:t>
      </w:r>
      <w:r w:rsidRPr="00096A22">
        <w:t xml:space="preserve"> and is relevant for the global partnership for achieving the SDGs in general. In particular, theme four touches on SDG targets 17.3, 17.6, 17.9, 17.16 and 17.17.</w:t>
      </w:r>
    </w:p>
    <w:p w14:paraId="6F3550AA" w14:textId="7E3A14DD" w:rsidR="00FB35AC" w:rsidRPr="00096A22" w:rsidRDefault="00667874" w:rsidP="00667874">
      <w:r w:rsidRPr="00096A22">
        <w:t xml:space="preserve">Some targets from SDG 17 are not covered in this review because they are more oriented towards securing political will or are expressions of political principles necessary for a successful global partnership. For example, target 17.2 calls for developed countries to meet or beat annual official development assistance (ODA) budgets of 0.7% of gross national incomes (GNI), and SDG 17.15 calls for </w:t>
      </w:r>
      <w:r w:rsidR="00DC0675">
        <w:t>“</w:t>
      </w:r>
      <w:r w:rsidRPr="00096A22">
        <w:t>respecting each country’s policy space</w:t>
      </w:r>
      <w:r w:rsidR="00DC0675">
        <w:t>”</w:t>
      </w:r>
      <w:r w:rsidRPr="00096A22">
        <w:t>.</w:t>
      </w:r>
      <w:r w:rsidR="004A7123">
        <w:t xml:space="preserve"> </w:t>
      </w:r>
      <w:r w:rsidRPr="00096A22">
        <w:t>Other SDG 17 targets are focused on fully implementing policies and agreements for supporting development in poorer regions, such as operationali</w:t>
      </w:r>
      <w:r w:rsidR="00FB01AA">
        <w:t>s</w:t>
      </w:r>
      <w:r w:rsidRPr="00096A22">
        <w:t xml:space="preserve">ing the technology bank and </w:t>
      </w:r>
      <w:r w:rsidR="00CB71CF">
        <w:t xml:space="preserve">the </w:t>
      </w:r>
      <w:r w:rsidRPr="00096A22">
        <w:t>science, technology and innovation capacity-building mechanism by 2017</w:t>
      </w:r>
      <w:r w:rsidR="00CB71CF">
        <w:t>;</w:t>
      </w:r>
      <w:r w:rsidRPr="00096A22">
        <w:t xml:space="preserve"> implementing duty-free and quota-free market access for least developed countries</w:t>
      </w:r>
      <w:r w:rsidR="00CB71CF">
        <w:t>;</w:t>
      </w:r>
      <w:r w:rsidRPr="00096A22">
        <w:t xml:space="preserve"> and concluding the Doha Development Agenda WTO negotiations (17.8 </w:t>
      </w:r>
      <w:r w:rsidR="00652A40">
        <w:t>and</w:t>
      </w:r>
      <w:r w:rsidRPr="00096A22">
        <w:t xml:space="preserve"> 17.10). Targets addressing support for data collection and analysis (17.18 </w:t>
      </w:r>
      <w:r w:rsidR="00652A40">
        <w:t>and</w:t>
      </w:r>
      <w:r w:rsidRPr="00096A22">
        <w:t xml:space="preserve"> 17.19) do raise research questions about what types of data and analysis are needed going forward. However, the data targets under SDG 17 are framed largely in terms of implementation and financing rather than in terms of specific knowledge gaps. Importantly, each target under </w:t>
      </w:r>
      <w:r w:rsidR="00653FE7">
        <w:t>SDG</w:t>
      </w:r>
      <w:r w:rsidRPr="00096A22">
        <w:t xml:space="preserve"> 17 can be associated with research directions with the potential to contribute to the achievement of Agenda 2030. As such, this review should be viewed as providing suggestions on fruitful research avenues, and it does not attempt to prioriti</w:t>
      </w:r>
      <w:r w:rsidR="00FB01AA">
        <w:t>s</w:t>
      </w:r>
      <w:r w:rsidRPr="00096A22">
        <w:t>e among the wide variety of issues mentioned within SDG 17.</w:t>
      </w:r>
    </w:p>
    <w:p w14:paraId="6B6489F5" w14:textId="77777777" w:rsidR="00101570" w:rsidRPr="00096A22" w:rsidRDefault="00101570" w:rsidP="00101570">
      <w:pPr>
        <w:pStyle w:val="Caption"/>
        <w:keepNext/>
      </w:pPr>
      <w:r w:rsidRPr="00096A22">
        <w:t xml:space="preserve">Table </w:t>
      </w:r>
      <w:r w:rsidR="0000333D">
        <w:fldChar w:fldCharType="begin"/>
      </w:r>
      <w:r w:rsidR="0000333D">
        <w:instrText xml:space="preserve"> SEQ Table \* ARABIC </w:instrText>
      </w:r>
      <w:r w:rsidR="0000333D">
        <w:fldChar w:fldCharType="separate"/>
      </w:r>
      <w:r w:rsidR="002463A5" w:rsidRPr="00096A22">
        <w:t>3</w:t>
      </w:r>
      <w:r w:rsidR="0000333D">
        <w:fldChar w:fldCharType="end"/>
      </w:r>
      <w:r w:rsidRPr="00096A22">
        <w:t>. Targets included under each identified key theme</w:t>
      </w:r>
    </w:p>
    <w:tbl>
      <w:tblPr>
        <w:tblStyle w:val="TableGrid"/>
        <w:tblW w:w="0" w:type="auto"/>
        <w:tblBorders>
          <w:insideH w:val="none" w:sz="0" w:space="0" w:color="auto"/>
          <w:insideV w:val="single" w:sz="4" w:space="0" w:color="auto"/>
        </w:tblBorders>
        <w:tblLook w:val="04A0" w:firstRow="1" w:lastRow="0" w:firstColumn="1" w:lastColumn="0" w:noHBand="0" w:noVBand="1"/>
      </w:tblPr>
      <w:tblGrid>
        <w:gridCol w:w="2181"/>
        <w:gridCol w:w="2182"/>
        <w:gridCol w:w="2181"/>
        <w:gridCol w:w="2182"/>
      </w:tblGrid>
      <w:tr w:rsidR="00101570" w:rsidRPr="00096A22" w14:paraId="63E17D51" w14:textId="77777777" w:rsidTr="00101570">
        <w:trPr>
          <w:cnfStyle w:val="100000000000" w:firstRow="1" w:lastRow="0" w:firstColumn="0" w:lastColumn="0" w:oddVBand="0" w:evenVBand="0" w:oddHBand="0" w:evenHBand="0" w:firstRowFirstColumn="0" w:firstRowLastColumn="0" w:lastRowFirstColumn="0" w:lastRowLastColumn="0"/>
          <w:trHeight w:val="503"/>
        </w:trPr>
        <w:tc>
          <w:tcPr>
            <w:tcW w:w="2181" w:type="dxa"/>
            <w:shd w:val="clear" w:color="auto" w:fill="00D29A" w:themeFill="accent1"/>
          </w:tcPr>
          <w:p w14:paraId="0B0D741E" w14:textId="77777777" w:rsidR="00101570" w:rsidRPr="00096A22" w:rsidRDefault="00101570" w:rsidP="00101570">
            <w:pPr>
              <w:pStyle w:val="TableFigureTitle"/>
            </w:pPr>
            <w:r w:rsidRPr="00096A22">
              <w:t>Public administration and the quality of government</w:t>
            </w:r>
          </w:p>
        </w:tc>
        <w:tc>
          <w:tcPr>
            <w:tcW w:w="2182" w:type="dxa"/>
            <w:shd w:val="clear" w:color="auto" w:fill="00D29A" w:themeFill="accent1"/>
          </w:tcPr>
          <w:p w14:paraId="1E2C5CF8" w14:textId="77777777" w:rsidR="00101570" w:rsidRPr="00096A22" w:rsidRDefault="00101570" w:rsidP="00101570">
            <w:pPr>
              <w:pStyle w:val="TableFigureTitle"/>
            </w:pPr>
            <w:r w:rsidRPr="00096A22">
              <w:t>Policy coherence</w:t>
            </w:r>
          </w:p>
        </w:tc>
        <w:tc>
          <w:tcPr>
            <w:tcW w:w="2181" w:type="dxa"/>
            <w:shd w:val="clear" w:color="auto" w:fill="00D29A" w:themeFill="accent1"/>
          </w:tcPr>
          <w:p w14:paraId="26F7672B" w14:textId="77777777" w:rsidR="00101570" w:rsidRPr="00096A22" w:rsidRDefault="00101570" w:rsidP="00101570">
            <w:pPr>
              <w:pStyle w:val="TableFigureTitle"/>
            </w:pPr>
            <w:r w:rsidRPr="00096A22">
              <w:t>Technology</w:t>
            </w:r>
          </w:p>
        </w:tc>
        <w:tc>
          <w:tcPr>
            <w:tcW w:w="2182" w:type="dxa"/>
            <w:shd w:val="clear" w:color="auto" w:fill="00D29A" w:themeFill="accent1"/>
          </w:tcPr>
          <w:p w14:paraId="7C3DA4A0" w14:textId="77777777" w:rsidR="00101570" w:rsidRPr="00096A22" w:rsidRDefault="00101570" w:rsidP="00101570">
            <w:pPr>
              <w:pStyle w:val="TableFigureTitle"/>
            </w:pPr>
            <w:r w:rsidRPr="00096A22">
              <w:t>Multi-stakeholder partnerships</w:t>
            </w:r>
          </w:p>
        </w:tc>
      </w:tr>
      <w:tr w:rsidR="00101570" w:rsidRPr="00096A22" w14:paraId="581D1502" w14:textId="77777777" w:rsidTr="00101570">
        <w:trPr>
          <w:trHeight w:val="620"/>
        </w:trPr>
        <w:tc>
          <w:tcPr>
            <w:tcW w:w="2181" w:type="dxa"/>
            <w:vAlign w:val="top"/>
          </w:tcPr>
          <w:p w14:paraId="5C917B8B" w14:textId="77777777" w:rsidR="00101570" w:rsidRPr="00096A22" w:rsidRDefault="00101570" w:rsidP="00101570">
            <w:pPr>
              <w:rPr>
                <w:sz w:val="18"/>
              </w:rPr>
            </w:pPr>
            <w:r w:rsidRPr="00096A22">
              <w:rPr>
                <w:sz w:val="18"/>
              </w:rPr>
              <w:lastRenderedPageBreak/>
              <w:t>17.1</w:t>
            </w:r>
          </w:p>
        </w:tc>
        <w:tc>
          <w:tcPr>
            <w:tcW w:w="2182" w:type="dxa"/>
            <w:vAlign w:val="top"/>
          </w:tcPr>
          <w:p w14:paraId="543D6BA5" w14:textId="77777777" w:rsidR="00101570" w:rsidRPr="00096A22" w:rsidRDefault="00101570" w:rsidP="00101570">
            <w:pPr>
              <w:rPr>
                <w:sz w:val="18"/>
              </w:rPr>
            </w:pPr>
            <w:r w:rsidRPr="00096A22">
              <w:rPr>
                <w:sz w:val="18"/>
              </w:rPr>
              <w:t xml:space="preserve"> 17.13</w:t>
            </w:r>
          </w:p>
        </w:tc>
        <w:tc>
          <w:tcPr>
            <w:tcW w:w="2181" w:type="dxa"/>
            <w:vAlign w:val="top"/>
          </w:tcPr>
          <w:p w14:paraId="53578536" w14:textId="77777777" w:rsidR="00101570" w:rsidRPr="00096A22" w:rsidRDefault="00101570" w:rsidP="00101570">
            <w:pPr>
              <w:rPr>
                <w:sz w:val="18"/>
              </w:rPr>
            </w:pPr>
            <w:r w:rsidRPr="00096A22">
              <w:rPr>
                <w:sz w:val="18"/>
              </w:rPr>
              <w:t>17.6</w:t>
            </w:r>
          </w:p>
        </w:tc>
        <w:tc>
          <w:tcPr>
            <w:tcW w:w="2182" w:type="dxa"/>
            <w:vAlign w:val="top"/>
          </w:tcPr>
          <w:p w14:paraId="5F9E5483" w14:textId="77777777" w:rsidR="00101570" w:rsidRPr="00096A22" w:rsidRDefault="00101570" w:rsidP="00101570">
            <w:pPr>
              <w:rPr>
                <w:sz w:val="18"/>
              </w:rPr>
            </w:pPr>
            <w:r w:rsidRPr="00096A22">
              <w:rPr>
                <w:sz w:val="18"/>
              </w:rPr>
              <w:t>17.3</w:t>
            </w:r>
          </w:p>
        </w:tc>
      </w:tr>
      <w:tr w:rsidR="00101570" w:rsidRPr="00096A22" w14:paraId="27DEE4CA" w14:textId="77777777" w:rsidTr="00101570">
        <w:trPr>
          <w:trHeight w:val="530"/>
        </w:trPr>
        <w:tc>
          <w:tcPr>
            <w:tcW w:w="2181" w:type="dxa"/>
            <w:vAlign w:val="top"/>
          </w:tcPr>
          <w:p w14:paraId="6EBBCB62" w14:textId="77777777" w:rsidR="00101570" w:rsidRPr="00096A22" w:rsidRDefault="00101570" w:rsidP="00101570">
            <w:pPr>
              <w:rPr>
                <w:sz w:val="18"/>
              </w:rPr>
            </w:pPr>
            <w:r w:rsidRPr="00096A22">
              <w:rPr>
                <w:sz w:val="18"/>
              </w:rPr>
              <w:t>17.9</w:t>
            </w:r>
          </w:p>
        </w:tc>
        <w:tc>
          <w:tcPr>
            <w:tcW w:w="2182" w:type="dxa"/>
            <w:vAlign w:val="top"/>
          </w:tcPr>
          <w:p w14:paraId="357670C1" w14:textId="77777777" w:rsidR="00101570" w:rsidRPr="00096A22" w:rsidRDefault="00101570" w:rsidP="00101570">
            <w:pPr>
              <w:rPr>
                <w:sz w:val="18"/>
              </w:rPr>
            </w:pPr>
            <w:r w:rsidRPr="00096A22">
              <w:rPr>
                <w:sz w:val="18"/>
              </w:rPr>
              <w:t xml:space="preserve"> 17.14</w:t>
            </w:r>
          </w:p>
        </w:tc>
        <w:tc>
          <w:tcPr>
            <w:tcW w:w="2181" w:type="dxa"/>
            <w:vAlign w:val="top"/>
          </w:tcPr>
          <w:p w14:paraId="1BD06339" w14:textId="77777777" w:rsidR="00101570" w:rsidRPr="00096A22" w:rsidRDefault="00101570" w:rsidP="00101570">
            <w:pPr>
              <w:rPr>
                <w:sz w:val="18"/>
              </w:rPr>
            </w:pPr>
            <w:r w:rsidRPr="00096A22">
              <w:rPr>
                <w:sz w:val="18"/>
              </w:rPr>
              <w:t>17.7</w:t>
            </w:r>
          </w:p>
        </w:tc>
        <w:tc>
          <w:tcPr>
            <w:tcW w:w="2182" w:type="dxa"/>
            <w:vAlign w:val="top"/>
          </w:tcPr>
          <w:p w14:paraId="247B43A5" w14:textId="77777777" w:rsidR="00101570" w:rsidRPr="00096A22" w:rsidRDefault="00101570" w:rsidP="00101570">
            <w:pPr>
              <w:rPr>
                <w:sz w:val="18"/>
              </w:rPr>
            </w:pPr>
            <w:r w:rsidRPr="00096A22">
              <w:rPr>
                <w:sz w:val="18"/>
              </w:rPr>
              <w:t>17.6</w:t>
            </w:r>
          </w:p>
        </w:tc>
      </w:tr>
      <w:tr w:rsidR="00101570" w:rsidRPr="00096A22" w14:paraId="372147A6" w14:textId="77777777" w:rsidTr="00101570">
        <w:trPr>
          <w:trHeight w:val="530"/>
        </w:trPr>
        <w:tc>
          <w:tcPr>
            <w:tcW w:w="2181" w:type="dxa"/>
            <w:vAlign w:val="top"/>
          </w:tcPr>
          <w:p w14:paraId="2CFBD6AD" w14:textId="77777777" w:rsidR="00101570" w:rsidRPr="00096A22" w:rsidRDefault="00101570" w:rsidP="00101570">
            <w:pPr>
              <w:rPr>
                <w:sz w:val="18"/>
              </w:rPr>
            </w:pPr>
            <w:r w:rsidRPr="00096A22">
              <w:rPr>
                <w:sz w:val="18"/>
              </w:rPr>
              <w:t>16.3</w:t>
            </w:r>
          </w:p>
        </w:tc>
        <w:tc>
          <w:tcPr>
            <w:tcW w:w="2182" w:type="dxa"/>
            <w:vAlign w:val="top"/>
          </w:tcPr>
          <w:p w14:paraId="546774A7" w14:textId="77777777" w:rsidR="00101570" w:rsidRPr="00096A22" w:rsidRDefault="00101570" w:rsidP="00101570">
            <w:pPr>
              <w:rPr>
                <w:sz w:val="18"/>
              </w:rPr>
            </w:pPr>
          </w:p>
        </w:tc>
        <w:tc>
          <w:tcPr>
            <w:tcW w:w="2181" w:type="dxa"/>
            <w:vAlign w:val="top"/>
          </w:tcPr>
          <w:p w14:paraId="1FF3014A" w14:textId="77777777" w:rsidR="00101570" w:rsidRPr="00096A22" w:rsidRDefault="00101570" w:rsidP="00101570">
            <w:pPr>
              <w:rPr>
                <w:sz w:val="18"/>
              </w:rPr>
            </w:pPr>
            <w:r w:rsidRPr="00096A22">
              <w:rPr>
                <w:sz w:val="18"/>
              </w:rPr>
              <w:t>9.5</w:t>
            </w:r>
          </w:p>
        </w:tc>
        <w:tc>
          <w:tcPr>
            <w:tcW w:w="2182" w:type="dxa"/>
            <w:vAlign w:val="top"/>
          </w:tcPr>
          <w:p w14:paraId="48852676" w14:textId="77777777" w:rsidR="00101570" w:rsidRPr="00096A22" w:rsidRDefault="00101570" w:rsidP="00101570">
            <w:pPr>
              <w:rPr>
                <w:sz w:val="18"/>
              </w:rPr>
            </w:pPr>
            <w:r w:rsidRPr="00096A22">
              <w:rPr>
                <w:sz w:val="18"/>
              </w:rPr>
              <w:t>17.9</w:t>
            </w:r>
          </w:p>
        </w:tc>
      </w:tr>
      <w:tr w:rsidR="00101570" w:rsidRPr="00096A22" w14:paraId="6EA19E60" w14:textId="77777777" w:rsidTr="00101570">
        <w:trPr>
          <w:trHeight w:val="530"/>
        </w:trPr>
        <w:tc>
          <w:tcPr>
            <w:tcW w:w="2181" w:type="dxa"/>
            <w:vAlign w:val="top"/>
          </w:tcPr>
          <w:p w14:paraId="12C6696C" w14:textId="77777777" w:rsidR="00101570" w:rsidRPr="00096A22" w:rsidRDefault="00101570" w:rsidP="00101570">
            <w:pPr>
              <w:rPr>
                <w:sz w:val="18"/>
              </w:rPr>
            </w:pPr>
            <w:r w:rsidRPr="00096A22">
              <w:rPr>
                <w:sz w:val="18"/>
              </w:rPr>
              <w:t>16.5</w:t>
            </w:r>
          </w:p>
        </w:tc>
        <w:tc>
          <w:tcPr>
            <w:tcW w:w="2182" w:type="dxa"/>
            <w:vAlign w:val="top"/>
          </w:tcPr>
          <w:p w14:paraId="60C71DF6" w14:textId="77777777" w:rsidR="00101570" w:rsidRPr="00096A22" w:rsidRDefault="00101570" w:rsidP="00101570">
            <w:pPr>
              <w:rPr>
                <w:sz w:val="18"/>
              </w:rPr>
            </w:pPr>
          </w:p>
        </w:tc>
        <w:tc>
          <w:tcPr>
            <w:tcW w:w="2181" w:type="dxa"/>
            <w:vAlign w:val="top"/>
          </w:tcPr>
          <w:p w14:paraId="51D55C61" w14:textId="77777777" w:rsidR="00101570" w:rsidRPr="00096A22" w:rsidRDefault="00101570" w:rsidP="00101570">
            <w:pPr>
              <w:rPr>
                <w:sz w:val="18"/>
              </w:rPr>
            </w:pPr>
            <w:r w:rsidRPr="00096A22">
              <w:rPr>
                <w:sz w:val="18"/>
              </w:rPr>
              <w:t>9a</w:t>
            </w:r>
          </w:p>
        </w:tc>
        <w:tc>
          <w:tcPr>
            <w:tcW w:w="2182" w:type="dxa"/>
            <w:vAlign w:val="top"/>
          </w:tcPr>
          <w:p w14:paraId="0145D24E" w14:textId="77777777" w:rsidR="00101570" w:rsidRPr="00096A22" w:rsidRDefault="00101570" w:rsidP="00101570">
            <w:pPr>
              <w:rPr>
                <w:sz w:val="18"/>
              </w:rPr>
            </w:pPr>
            <w:r w:rsidRPr="00096A22">
              <w:rPr>
                <w:sz w:val="18"/>
              </w:rPr>
              <w:t>17.16</w:t>
            </w:r>
          </w:p>
        </w:tc>
      </w:tr>
      <w:tr w:rsidR="00101570" w:rsidRPr="00096A22" w14:paraId="31AD0711" w14:textId="77777777" w:rsidTr="00101570">
        <w:trPr>
          <w:trHeight w:val="530"/>
        </w:trPr>
        <w:tc>
          <w:tcPr>
            <w:tcW w:w="2181" w:type="dxa"/>
            <w:vAlign w:val="top"/>
          </w:tcPr>
          <w:p w14:paraId="4945B0E0" w14:textId="77777777" w:rsidR="00101570" w:rsidRPr="00096A22" w:rsidRDefault="00101570" w:rsidP="00101570">
            <w:pPr>
              <w:rPr>
                <w:sz w:val="18"/>
              </w:rPr>
            </w:pPr>
            <w:r w:rsidRPr="00096A22">
              <w:rPr>
                <w:sz w:val="18"/>
              </w:rPr>
              <w:t>16.6</w:t>
            </w:r>
          </w:p>
        </w:tc>
        <w:tc>
          <w:tcPr>
            <w:tcW w:w="2182" w:type="dxa"/>
            <w:vAlign w:val="top"/>
          </w:tcPr>
          <w:p w14:paraId="119F6B40" w14:textId="77777777" w:rsidR="00101570" w:rsidRPr="00096A22" w:rsidRDefault="00101570" w:rsidP="00101570">
            <w:pPr>
              <w:rPr>
                <w:sz w:val="18"/>
              </w:rPr>
            </w:pPr>
          </w:p>
        </w:tc>
        <w:tc>
          <w:tcPr>
            <w:tcW w:w="2181" w:type="dxa"/>
            <w:vAlign w:val="top"/>
          </w:tcPr>
          <w:p w14:paraId="2BE242FA" w14:textId="77777777" w:rsidR="00101570" w:rsidRPr="00096A22" w:rsidRDefault="00101570" w:rsidP="00101570">
            <w:pPr>
              <w:rPr>
                <w:sz w:val="18"/>
              </w:rPr>
            </w:pPr>
            <w:r w:rsidRPr="00096A22">
              <w:rPr>
                <w:sz w:val="18"/>
              </w:rPr>
              <w:t>9b</w:t>
            </w:r>
          </w:p>
        </w:tc>
        <w:tc>
          <w:tcPr>
            <w:tcW w:w="2182" w:type="dxa"/>
            <w:vAlign w:val="top"/>
          </w:tcPr>
          <w:p w14:paraId="22304AA9" w14:textId="77777777" w:rsidR="00101570" w:rsidRPr="00096A22" w:rsidRDefault="00101570" w:rsidP="00101570">
            <w:pPr>
              <w:rPr>
                <w:sz w:val="18"/>
              </w:rPr>
            </w:pPr>
            <w:r w:rsidRPr="00096A22">
              <w:rPr>
                <w:sz w:val="18"/>
              </w:rPr>
              <w:t>17.7</w:t>
            </w:r>
          </w:p>
        </w:tc>
      </w:tr>
    </w:tbl>
    <w:p w14:paraId="55F4F090" w14:textId="77777777" w:rsidR="00FB35AC" w:rsidRPr="00096A22" w:rsidRDefault="00FB35AC" w:rsidP="00667874"/>
    <w:p w14:paraId="30BDB8E7" w14:textId="77777777" w:rsidR="00667874" w:rsidRPr="00096A22" w:rsidRDefault="00667874" w:rsidP="00667874">
      <w:pPr>
        <w:pStyle w:val="Heading1"/>
      </w:pPr>
      <w:bookmarkStart w:id="21" w:name="_Toc529789834"/>
      <w:r w:rsidRPr="00096A22">
        <w:t>General research challenges</w:t>
      </w:r>
      <w:bookmarkEnd w:id="21"/>
    </w:p>
    <w:bookmarkEnd w:id="3"/>
    <w:bookmarkEnd w:id="4"/>
    <w:bookmarkEnd w:id="5"/>
    <w:p w14:paraId="796B41AB" w14:textId="46D22CDA" w:rsidR="00753D01" w:rsidRPr="00096A22" w:rsidRDefault="00753D01" w:rsidP="00753D01">
      <w:r w:rsidRPr="00096A22">
        <w:t>SDG 17 calls for strengthening the means of implementing the SDGs and investing in the global partnership for realising sustainable development all over the world. Achieving the ambitions of Agenda 2030 will require mobilising political will and deepening partnerships between government, the private sector and civil society.</w:t>
      </w:r>
      <w:r w:rsidR="004A7123">
        <w:t xml:space="preserve"> </w:t>
      </w:r>
      <w:r w:rsidRPr="00096A22">
        <w:t>It will also require increasing international cooperation and improving coherence between policies and initiatives both domestically and internationally. SDG 17 addresses these needs and calls for actions to increase capacity for implementing the SDGs at all levels. In particular, SDG 17 calls for a revitali</w:t>
      </w:r>
      <w:r w:rsidR="00FB01AA">
        <w:t>s</w:t>
      </w:r>
      <w:r w:rsidRPr="00096A22">
        <w:t>ation of the global partnership for sustainable development. As such, meeting the targets and ambitions of SDG 17 is absolutely essential for successfully advancing the entire SDG agenda.</w:t>
      </w:r>
    </w:p>
    <w:p w14:paraId="22C32F77" w14:textId="4EA85D0F" w:rsidR="00753D01" w:rsidRPr="00096A22" w:rsidRDefault="00753D01" w:rsidP="00753D01">
      <w:r w:rsidRPr="00096A22">
        <w:t>The targets of SDG 17 address the need for wealthy regions to increase financial support to poorer regions. Here Sweden is a leading country</w:t>
      </w:r>
      <w:r w:rsidR="009C68AF">
        <w:t>,</w:t>
      </w:r>
      <w:r w:rsidRPr="00096A22">
        <w:t xml:space="preserve"> with total ODA a</w:t>
      </w:r>
      <w:r w:rsidR="009C68AF">
        <w:t xml:space="preserve">t 1.4% </w:t>
      </w:r>
      <w:r w:rsidRPr="00096A22">
        <w:t xml:space="preserve">of GNI in 2015. The amount of ODA directed towards least developed countries in 2015 was 0.17% of GNI, </w:t>
      </w:r>
      <w:r w:rsidR="009C68AF">
        <w:t>or</w:t>
      </w:r>
      <w:r w:rsidRPr="00096A22">
        <w:t xml:space="preserve"> 12% of total ODA </w:t>
      </w:r>
      <w:r w:rsidRPr="00096A22">
        <w:fldChar w:fldCharType="begin"/>
      </w:r>
      <w:r w:rsidR="004A7123">
        <w:instrText xml:space="preserve"> ADDIN ZOTERO_ITEM CSL_CITATION {"citationID":"arjr8tpjco","properties":{"formattedCitation":"(SCB 2017)","plainCitation":"(SCB 2017)","noteIndex":0},"citationItems":[{"id":"GGZNlT61/Bsg6ZSoZ","uris":["http://zotero.org/users/4803578/items/DQT7DVB4"],"uri":["http://zotero.org/users/4803578/items/DQT7DVB4"],"itemData":{"id":138,"type":"report","title":"Statistisk uppföljning av Agenda 2030","publisher":"Statistiska centralbyrån","publisher-place":"Stockholm","event-place":"Stockholm","URL":"http://www.scb.se/contentassets/404caaf5c86740939115864265d2c95e/mi1303_2017a01_br_x41br1701.pdf","call-number":"ISSN 1654-0743","author":[{"family":"SCB","given":""}],"issued":{"date-parts":[["2017",5,3]]}}}],"schema":"https://github.com/citation-style-language/schema/raw/master/csl-citation.json"} </w:instrText>
      </w:r>
      <w:r w:rsidRPr="00096A22">
        <w:fldChar w:fldCharType="separate"/>
      </w:r>
      <w:r w:rsidR="004A7123" w:rsidRPr="007344DD">
        <w:rPr>
          <w:rFonts w:ascii="Calibri" w:hAnsi="Calibri" w:cs="Calibri"/>
        </w:rPr>
        <w:t>(SCB 2017)</w:t>
      </w:r>
      <w:r w:rsidRPr="00096A22">
        <w:fldChar w:fldCharType="end"/>
      </w:r>
      <w:r w:rsidRPr="00096A22">
        <w:t xml:space="preserve">. The total level of ODA exceeds the SDG target 17.2, while the LDC figures meet the target. However, what is clear from SDG 17 is that </w:t>
      </w:r>
      <w:r w:rsidR="009C68AF">
        <w:t xml:space="preserve">the broader goal is to </w:t>
      </w:r>
      <w:r w:rsidRPr="00096A22">
        <w:t>accelerat</w:t>
      </w:r>
      <w:r w:rsidR="009C68AF">
        <w:t>e</w:t>
      </w:r>
      <w:r w:rsidRPr="00096A22">
        <w:t xml:space="preserve"> capacity</w:t>
      </w:r>
      <w:r w:rsidR="009C68AF">
        <w:t xml:space="preserve"> </w:t>
      </w:r>
      <w:r w:rsidRPr="00096A22">
        <w:t>building and establish an international economic and policy context that is conducive to accelerating sustainable development in all regions</w:t>
      </w:r>
      <w:r w:rsidR="009C68AF">
        <w:t>.</w:t>
      </w:r>
    </w:p>
    <w:p w14:paraId="3500A2E6" w14:textId="781B8867" w:rsidR="00753D01" w:rsidRPr="00096A22" w:rsidRDefault="00753D01" w:rsidP="00753D01">
      <w:r w:rsidRPr="00096A22">
        <w:t>For example, SDG 17.1 calls for supporting developing countries in strengthening domestic resource mobili</w:t>
      </w:r>
      <w:r w:rsidR="00FB01AA">
        <w:t>s</w:t>
      </w:r>
      <w:r w:rsidRPr="00096A22">
        <w:t>ation. This is an important target</w:t>
      </w:r>
      <w:r w:rsidR="00E64A2F">
        <w:t>,</w:t>
      </w:r>
      <w:r w:rsidRPr="00096A22">
        <w:t xml:space="preserve"> given estimates that achieving the SDGs </w:t>
      </w:r>
      <w:r w:rsidR="00B95C31">
        <w:t>will</w:t>
      </w:r>
      <w:r w:rsidRPr="00096A22">
        <w:t xml:space="preserve"> require </w:t>
      </w:r>
      <w:r w:rsidR="00B95C31">
        <w:t xml:space="preserve">annual </w:t>
      </w:r>
      <w:r w:rsidRPr="00096A22">
        <w:t xml:space="preserve">increases in domestic government spending of 12.5% </w:t>
      </w:r>
      <w:r w:rsidR="00B95C31">
        <w:t>in low-income countries</w:t>
      </w:r>
      <w:r w:rsidR="00E126BB">
        <w:t xml:space="preserve"> </w:t>
      </w:r>
      <w:r w:rsidR="00B95C31">
        <w:t xml:space="preserve">and 11.4% in </w:t>
      </w:r>
      <w:r w:rsidR="00653FE7">
        <w:t>l</w:t>
      </w:r>
      <w:r w:rsidR="00B95C31" w:rsidRPr="00B95C31">
        <w:t>ower</w:t>
      </w:r>
      <w:r w:rsidR="00653FE7">
        <w:t xml:space="preserve"> and m</w:t>
      </w:r>
      <w:r w:rsidR="00B95C31" w:rsidRPr="00B95C31">
        <w:t>iddle-</w:t>
      </w:r>
      <w:r w:rsidR="00653FE7">
        <w:t>i</w:t>
      </w:r>
      <w:r w:rsidR="00B95C31" w:rsidRPr="00B95C31">
        <w:t xml:space="preserve">ncome </w:t>
      </w:r>
      <w:r w:rsidR="00653FE7">
        <w:t>c</w:t>
      </w:r>
      <w:r w:rsidR="00B95C31" w:rsidRPr="00B95C31">
        <w:t>ountries</w:t>
      </w:r>
      <w:r w:rsidR="00B95C31">
        <w:t xml:space="preserve"> (LMICs) </w:t>
      </w:r>
      <w:r w:rsidRPr="00096A22">
        <w:t xml:space="preserve">through to 2030 </w:t>
      </w:r>
      <w:r w:rsidRPr="00096A22">
        <w:fldChar w:fldCharType="begin"/>
      </w:r>
      <w:r w:rsidR="004A7123">
        <w:instrText xml:space="preserve"> ADDIN ZOTERO_ITEM CSL_CITATION {"citationID":"aies2vo22i","properties":{"formattedCitation":"(Schmidt-Traub 2016)","plainCitation":"(Schmidt-Traub 2016)","noteIndex":0},"citationItems":[{"id":"GGZNlT61/HHvVA70z","uris":["http://zotero.org/users/4803578/items/V8HUQ8M4"],"uri":["http://zotero.org/users/4803578/items/V8HUQ8M4"],"itemData":{"id":30,"type":"book","title":"Investment needs to achieve the Sustainable Development Goals: understanding the billions and trillions","publisher":"Sustainable Development Solutions Network","source":"Google Scholar","shortTitle":"Investment needs to achieve the Sustainable Development Goals","author":[{"family":"Schmidt-Traub","given":"Guido"}],"issued":{"date-parts":[["2016"]]}}}],"schema":"https://github.com/citation-style-language/schema/raw/master/csl-citation.json"} </w:instrText>
      </w:r>
      <w:r w:rsidRPr="00096A22">
        <w:fldChar w:fldCharType="separate"/>
      </w:r>
      <w:r w:rsidR="004A7123" w:rsidRPr="007344DD">
        <w:rPr>
          <w:rFonts w:ascii="Calibri" w:hAnsi="Calibri" w:cs="Calibri"/>
        </w:rPr>
        <w:t>(Schmidt-Traub 2016)</w:t>
      </w:r>
      <w:r w:rsidRPr="00096A22">
        <w:fldChar w:fldCharType="end"/>
      </w:r>
      <w:r w:rsidRPr="00096A22">
        <w:t xml:space="preserve">. </w:t>
      </w:r>
      <w:r w:rsidR="009620F8">
        <w:t>Encompassed within SDG 17 are t</w:t>
      </w:r>
      <w:r w:rsidRPr="00096A22">
        <w:t>echnology transfer, foreign direct investment, domestic financial conditions, trade and geopolitical conditions, improved data and monitoring capacity</w:t>
      </w:r>
      <w:r w:rsidR="009620F8">
        <w:t xml:space="preserve">, and </w:t>
      </w:r>
      <w:r w:rsidR="009620F8" w:rsidRPr="00096A22">
        <w:t xml:space="preserve">effective public, private </w:t>
      </w:r>
      <w:r w:rsidR="009620F8">
        <w:t>and civil society partnerships</w:t>
      </w:r>
      <w:r w:rsidRPr="00096A22">
        <w:t>. Given this focus, SDG 17 connects largely to research in the social sciences, particularly political science and economics</w:t>
      </w:r>
      <w:r w:rsidR="00E64A2F">
        <w:t xml:space="preserve"> –</w:t>
      </w:r>
      <w:r w:rsidRPr="00096A22">
        <w:t xml:space="preserve"> but</w:t>
      </w:r>
      <w:r w:rsidR="00E64A2F">
        <w:t xml:space="preserve"> </w:t>
      </w:r>
      <w:r w:rsidRPr="00096A22">
        <w:t>also sociology, psychology and law. In addition, SDG 17 raises normative issues that can be approached by researchers in both the humanities and social sciences.</w:t>
      </w:r>
    </w:p>
    <w:p w14:paraId="74763402" w14:textId="77777777" w:rsidR="00667874" w:rsidRPr="00096A22" w:rsidRDefault="00667874" w:rsidP="006B7262">
      <w:pPr>
        <w:pStyle w:val="Heading1"/>
      </w:pPr>
      <w:bookmarkStart w:id="22" w:name="_Toc529789835"/>
      <w:r w:rsidRPr="00096A22">
        <w:lastRenderedPageBreak/>
        <w:t xml:space="preserve">Key theme 1: </w:t>
      </w:r>
      <w:bookmarkStart w:id="23" w:name="_Toc500764752"/>
      <w:bookmarkStart w:id="24" w:name="_Toc508746767"/>
      <w:r w:rsidRPr="00096A22">
        <w:t>Public administration and the quality of government</w:t>
      </w:r>
      <w:bookmarkEnd w:id="22"/>
    </w:p>
    <w:p w14:paraId="75B6247D" w14:textId="611E6449" w:rsidR="00667874" w:rsidRPr="00096A22" w:rsidRDefault="00667874" w:rsidP="00667874">
      <w:r w:rsidRPr="00096A22">
        <w:t>17.1</w:t>
      </w:r>
      <w:r w:rsidR="00D557A4">
        <w:t xml:space="preserve"> and</w:t>
      </w:r>
      <w:r w:rsidRPr="00096A22">
        <w:t xml:space="preserve"> 17.9 </w:t>
      </w:r>
      <w:bookmarkEnd w:id="23"/>
      <w:r w:rsidRPr="00096A22">
        <w:t xml:space="preserve">(16.3, 16.5 </w:t>
      </w:r>
      <w:r w:rsidR="008B26CE">
        <w:t>and</w:t>
      </w:r>
      <w:r w:rsidRPr="00096A22">
        <w:t xml:space="preserve"> 16.6)</w:t>
      </w:r>
      <w:bookmarkEnd w:id="24"/>
    </w:p>
    <w:p w14:paraId="67A2C1AC" w14:textId="77777777" w:rsidR="00667874" w:rsidRPr="00096A22" w:rsidRDefault="00667874" w:rsidP="00667874">
      <w:pPr>
        <w:pStyle w:val="Heading2"/>
      </w:pPr>
      <w:bookmarkStart w:id="25" w:name="_Toc500764753"/>
      <w:bookmarkStart w:id="26" w:name="_Toc508746768"/>
      <w:bookmarkStart w:id="27" w:name="_Toc529789836"/>
      <w:r w:rsidRPr="00096A22">
        <w:t>Quality of government</w:t>
      </w:r>
      <w:bookmarkEnd w:id="25"/>
      <w:bookmarkEnd w:id="26"/>
      <w:bookmarkEnd w:id="27"/>
    </w:p>
    <w:p w14:paraId="69ECE3D6" w14:textId="2053AB9F" w:rsidR="00667874" w:rsidRPr="00096A22" w:rsidRDefault="00667874" w:rsidP="00667874">
      <w:r w:rsidRPr="00096A22">
        <w:t>SDG 17.9 calls for governments to “enhance international support for implementing effective and targeted capacity-building in developing countries”. In order to offer support in an effective way</w:t>
      </w:r>
      <w:r w:rsidR="00D557A4">
        <w:t>,</w:t>
      </w:r>
      <w:r w:rsidRPr="00096A22">
        <w:t xml:space="preserve"> there has to be a clear understanding of 1) what capacities are most in need of improvement and will have the biggest impact on SDG achievement, and 2) the ways international efforts can support capacity-building. These assessments should help to both set the goals for cooperative support and possibly help actors to see where the limits are for added value from international support.</w:t>
      </w:r>
    </w:p>
    <w:p w14:paraId="3FED685A" w14:textId="6EC61974" w:rsidR="00667874" w:rsidRPr="00096A22" w:rsidRDefault="00667874" w:rsidP="00667874">
      <w:r w:rsidRPr="00096A22">
        <w:t>There is far</w:t>
      </w:r>
      <w:r w:rsidR="00D557A4">
        <w:t>-</w:t>
      </w:r>
      <w:r w:rsidRPr="00096A22">
        <w:t xml:space="preserve">reaching evidence that quality of government is central </w:t>
      </w:r>
      <w:r w:rsidR="00D557A4">
        <w:t>to</w:t>
      </w:r>
      <w:r w:rsidR="00D557A4" w:rsidRPr="00096A22">
        <w:t xml:space="preserve"> </w:t>
      </w:r>
      <w:r w:rsidRPr="00096A22">
        <w:t xml:space="preserve">development and poverty reduction </w:t>
      </w:r>
      <w:r w:rsidRPr="00096A22">
        <w:fldChar w:fldCharType="begin"/>
      </w:r>
      <w:r w:rsidR="004A7123">
        <w:instrText xml:space="preserve"> ADDIN ZOTERO_ITEM CSL_CITATION {"citationID":"IXhDWasX","properties":{"formattedCitation":"(Acemoglu and Robinson 2013; Aidt 2009; Bentzen 2012; Keefer and Knack 1997; Rodrik et al. 2004)","plainCitation":"(Acemoglu and Robinson 2013; Aidt 2009; Bentzen 2012; Keefer and Knack 1997; Rodrik et al. 2004)","noteIndex":0},"citationItems":[{"id":"GGZNlT61/8Dxv6kvB","uris":["http://zotero.org/users/4803578/items/XEIXNHQY"],"uri":["http://zotero.org/users/4803578/items/XEIXNHQY"],"itemData":{"id":88,"type":"book","title":"Why nations fail: The origins of power, prosperity, and poverty","publisher":"Broadway Business","source":"Google Scholar","shortTitle":"Why nations fail","author":[{"family":"Acemoglu","given":"Daron"},{"family":"Robinson","given":"James A."}],"issued":{"date-parts":[["2013"]]}}},{"id":"GGZNlT61/ZstJ5eyJ","uris":["http://zotero.org/users/4803578/items/FUERSE36"],"uri":["http://zotero.org/users/4803578/items/FUERSE36"],"itemData":{"id":89,"type":"article-journal","title":"Corruption, institutions, and economic development","container-title":"Oxford Review of Economic Policy","page":"271-291","volume":"25","issue":"2","source":"academic-oup-com.ezp.sub.su.se","abstract":"Many scholarly articles on corruption give the impression that the world is populated by two types of people: the ‘sanders’ and the ‘greasers’. The ‘sanders’ believe that corruption is an obstacle to development, while the ‘greasers’ believe that corruption can (in some cases) foster development. This paper takes a critical look at these positions. It concludes that the evidence supporting the ‘greasing the wheels hypothesis’ is very weak and shows that there is no correlation between a new measure of managers’ actual experience with corruption and GDP growth. Instead, the paper uncovers a strong negative correlation between growth in genuine wealth per capita—a direct measure of sustainable development—and corruption. While corruption may have little average effect on the growth rate of GDP per capita, it is a likely source of unsustainable development.","DOI":"10.1093/oxrep/grp012","ISSN":"0266-903X","journalAbbreviation":"Oxf Rev Econ Policy","language":"en","author":[{"family":"Aidt","given":"Toke S."}],"issued":{"date-parts":[["2009",7,1]]}}},{"id":"GGZNlT61/5YRt62WN","uris":["http://zotero.org/users/4803578/items/2FEIC5EC"],"uri":["http://zotero.org/users/4803578/items/2FEIC5EC"],"itemData":{"id":90,"type":"article-journal","title":"How bad is corruption? Cross-country evidence of the impact of corruption on economic prosperity","container-title":"review of development economics","page":"167–184","volume":"16","issue":"1","source":"Google Scholar","shortTitle":"How bad is corruption?","author":[{"family":"Bentzen","given":"Jeanet Sinding"}],"issued":{"date-parts":[["2012"]]}}},{"id":"GGZNlT61/YbpQIB17","uris":["http://zotero.org/users/4803578/items/GHNU8NA8"],"uri":["http://zotero.org/users/4803578/items/GHNU8NA8"],"itemData":{"id":95,"type":"article-journal","title":"Why don't poor countries catch up? A cross-national test of an institutional explanation","container-title":"Economic inquiry","page":"590–602","volume":"35","issue":"3","source":"Google Scholar","shortTitle":"Why don't poor countries catch up?","author":[{"family":"Keefer","given":"Philip"},{"family":"Knack","given":"Stephen"}],"issued":{"date-parts":[["1997"]]}}},{"id":"GGZNlT61/nUTUayUl","uris":["http://zotero.org/users/4803578/items/3FCG4LZU"],"uri":["http://zotero.org/users/4803578/items/3FCG4LZU"],"itemData":{"id":93,"type":"article-journal","title":"Institutions Rule: The Primacy of Institutions Over Geography and Integration in Economic Development","container-title":"Journal of Economic Growth","page":"131-165","volume":"9","issue":"2","source":"link.springer.com","abstract":"We estimate the respective contributions of institutions, geography, and trade in determining income levels around the world, using recently developed instrumental variables for institutions and trade. Our results indicate that the quality of institutions “trumps” everything else. Once institutions are controlled for, conventional measures of geography have at best weak direct effects on incomes, although they have a strong indirect effect by influencing the quality of institutions. Similarly, once institutions are controlled for, trade is almost always insignificant, and often enters the income equation with the “wrong” (i.e., negative) sign. We relate our results to recent literature, and where differences exist, trace their origins to choices on samples, specification, and instrumentation.","DOI":"10.1023/B:JOEG.0000031425.72248.85","ISSN":"1381-4338, 1573-7020","shortTitle":"Institutions Rule","journalAbbreviation":"Journal of Economic Growth","language":"en","author":[{"family":"Rodrik","given":"Dani"},{"family":"Subramanian","given":"Arvind"},{"family":"Trebbi","given":"Francesco"}],"issued":{"date-parts":[["2004",6,1]]}}}],"schema":"https://github.com/citation-style-language/schema/raw/master/csl-citation.json"} </w:instrText>
      </w:r>
      <w:r w:rsidRPr="00096A22">
        <w:fldChar w:fldCharType="separate"/>
      </w:r>
      <w:r w:rsidR="004A7123" w:rsidRPr="007344DD">
        <w:rPr>
          <w:rFonts w:ascii="Calibri" w:hAnsi="Calibri" w:cs="Calibri"/>
        </w:rPr>
        <w:t>(Acemoglu and Robinson 2013; Aidt 2009; Bentzen 2012; Keefer and Knack 1997; Rodrik et al. 2004)</w:t>
      </w:r>
      <w:r w:rsidRPr="00096A22">
        <w:fldChar w:fldCharType="end"/>
      </w:r>
      <w:r w:rsidRPr="00096A22">
        <w:t>.</w:t>
      </w:r>
      <w:r w:rsidR="004A7123">
        <w:t xml:space="preserve"> </w:t>
      </w:r>
      <w:r w:rsidRPr="00096A22">
        <w:t>Factors of importance include inclusive political institutions, accountability (both political and for public institutions), effective rule of law, property rights, low levels of corruption</w:t>
      </w:r>
      <w:r w:rsidR="00D557A4">
        <w:t>,</w:t>
      </w:r>
      <w:r w:rsidRPr="00096A22">
        <w:t xml:space="preserve"> an impartial use of political authority, and merit-based bureaucracy </w:t>
      </w:r>
      <w:r w:rsidRPr="00096A22">
        <w:fldChar w:fldCharType="begin"/>
      </w:r>
      <w:r w:rsidR="004A7123">
        <w:instrText xml:space="preserve"> ADDIN ZOTERO_ITEM CSL_CITATION {"citationID":"a2p5q6a3vk5","properties":{"formattedCitation":"(Rothstein 2011)","plainCitation":"(Rothstein 2011)","noteIndex":0},"citationItems":[{"id":"GGZNlT61/MggGHQb2","uris":["http://zotero.org/users/4803578/items/RUNGFDDN"],"uri":["http://zotero.org/users/4803578/items/RUNGFDDN"],"itemData":{"id":96,"type":"book","title":"The quality of government: Corruption, social trust, and inequality in international perspective","publisher":"University of Chicago Press","source":"Google Scholar","shortTitle":"The quality of government","author":[{"family":"Rothstein","given":"Bo"}],"issued":{"date-parts":[["2011"]]}}}],"schema":"https://github.com/citation-style-language/schema/raw/master/csl-citation.json"} </w:instrText>
      </w:r>
      <w:r w:rsidRPr="00096A22">
        <w:fldChar w:fldCharType="separate"/>
      </w:r>
      <w:r w:rsidR="004A7123" w:rsidRPr="007344DD">
        <w:rPr>
          <w:rFonts w:ascii="Calibri" w:hAnsi="Calibri" w:cs="Calibri"/>
        </w:rPr>
        <w:t>(Rothstein 2011)</w:t>
      </w:r>
      <w:r w:rsidRPr="00096A22">
        <w:fldChar w:fldCharType="end"/>
      </w:r>
      <w:r w:rsidRPr="00096A22">
        <w:t>. There is</w:t>
      </w:r>
      <w:r w:rsidR="00D557A4">
        <w:t>,</w:t>
      </w:r>
      <w:r w:rsidRPr="00096A22">
        <w:t xml:space="preserve"> of course</w:t>
      </w:r>
      <w:r w:rsidR="00D557A4">
        <w:t>,</w:t>
      </w:r>
      <w:r w:rsidRPr="00096A22">
        <w:t xml:space="preserve"> significant scientific debate on the ultimate sources of broad phenomena like development </w:t>
      </w:r>
      <w:r w:rsidR="00D557A4">
        <w:t xml:space="preserve">(including </w:t>
      </w:r>
      <w:r w:rsidRPr="00096A22">
        <w:t>failure to develop</w:t>
      </w:r>
      <w:r w:rsidR="00D557A4">
        <w:t>)</w:t>
      </w:r>
      <w:r w:rsidRPr="00096A22">
        <w:t>. The direction of causality between the quality of institutions and economic growth is continually debated</w:t>
      </w:r>
      <w:r w:rsidR="00D557A4">
        <w:t>. O</w:t>
      </w:r>
      <w:r w:rsidRPr="00096A22">
        <w:t xml:space="preserve">ther factors argued to be significant include geography </w:t>
      </w:r>
      <w:r w:rsidRPr="00096A22">
        <w:fldChar w:fldCharType="begin"/>
      </w:r>
      <w:r w:rsidR="004A7123">
        <w:instrText xml:space="preserve"> ADDIN ZOTERO_ITEM CSL_CITATION {"citationID":"a1n032i1ho3","properties":{"formattedCitation":"(Diamond 1998)","plainCitation":"(Diamond 1998)","noteIndex":0},"citationItems":[{"id":"GGZNlT61/JWuyrdQX","uris":["http://zotero.org/users/4803578/items/A8CKHFQG"],"uri":["http://zotero.org/users/4803578/items/A8CKHFQG"],"itemData":{"id":27,"type":"book","title":"Guns, germs and steel: a short history of everybody for the last 13,000 years","publisher":"Random House","source":"Google Scholar","shortTitle":"Guns, germs and steel","author":[{"family":"Diamond","given":"Jared M."}],"issued":{"date-parts":[["1998"]]}}}],"schema":"https://github.com/citation-style-language/schema/raw/master/csl-citation.json"} </w:instrText>
      </w:r>
      <w:r w:rsidRPr="00096A22">
        <w:fldChar w:fldCharType="separate"/>
      </w:r>
      <w:r w:rsidR="004A7123" w:rsidRPr="007344DD">
        <w:rPr>
          <w:rFonts w:ascii="Calibri" w:hAnsi="Calibri" w:cs="Calibri"/>
        </w:rPr>
        <w:t>(Diamond 1998)</w:t>
      </w:r>
      <w:r w:rsidRPr="00096A22">
        <w:fldChar w:fldCharType="end"/>
      </w:r>
      <w:r w:rsidRPr="00096A22">
        <w:t xml:space="preserve">, culture </w:t>
      </w:r>
      <w:r w:rsidRPr="00096A22">
        <w:fldChar w:fldCharType="begin"/>
      </w:r>
      <w:r w:rsidR="004A7123">
        <w:instrText xml:space="preserve"> ADDIN ZOTERO_ITEM CSL_CITATION {"citationID":"a2npvjuj26l","properties":{"formattedCitation":"(Nunn 2012)","plainCitation":"(Nunn 2012)","noteIndex":0},"citationItems":[{"id":"GGZNlT61/IqFJO5xW","uris":["http://zotero.org/users/4803578/items/BXWCRZ6P"],"uri":["http://zotero.org/users/4803578/items/BXWCRZ6P"],"itemData":{"id":29,"type":"article-journal","title":"Culture and the Historical Process","container-title":"Economic History of Developing Regions","page":"S108-S126","volume":"27","issue":"sup1","source":"Taylor and Francis+NEJM","abstract":"This article discusses the importance of accounting for cultural values and beliefs when studying the process of historical economic development. A notion of culture as heuristics or rules of thumb that aid in decision making is described. Because cultural traits evolve based upon relative fitness, historical shocks can have persistent effects if they alter the costs and benefits of different traits. A number of empirical studies confirm that culture is an important mechanism that helps explain why historical shocks can have persistent impacts; these are reviewed here. As an example, I discuss the colonial origins hypothesis (Acemoglu, Johnson, and Robinson 2001), and show that our understanding of the transplantation of European legal and political institutions during the colonial period remains incomplete unless the values and beliefs brought by European settlers are taken into account. It is these cultural beliefs that formed the foundation of the initial institutions that in turn were key for long-term economic development.","DOI":"10.1080/20780389.2012.664864","ISSN":"2078-0389","author":[{"family":"Nunn","given":"Nathan"}],"issued":{"date-parts":[["2012",6,1]]}}}],"schema":"https://github.com/citation-style-language/schema/raw/master/csl-citation.json"} </w:instrText>
      </w:r>
      <w:r w:rsidRPr="00096A22">
        <w:fldChar w:fldCharType="separate"/>
      </w:r>
      <w:r w:rsidR="004A7123" w:rsidRPr="007344DD">
        <w:rPr>
          <w:rFonts w:ascii="Calibri" w:hAnsi="Calibri" w:cs="Calibri"/>
        </w:rPr>
        <w:t>(Nunn 2012)</w:t>
      </w:r>
      <w:r w:rsidRPr="00096A22">
        <w:fldChar w:fldCharType="end"/>
      </w:r>
      <w:r w:rsidRPr="00096A22">
        <w:t xml:space="preserve"> and geopolitics </w:t>
      </w:r>
      <w:r w:rsidRPr="00096A22">
        <w:fldChar w:fldCharType="begin"/>
      </w:r>
      <w:r w:rsidR="004A7123">
        <w:instrText xml:space="preserve"> ADDIN ZOTERO_ITEM CSL_CITATION {"citationID":"a230mm4s5i0","properties":{"formattedCitation":"(Sachs 2012)","plainCitation":"(Sachs 2012)","noteIndex":0},"citationItems":[{"id":"GGZNlT61/Pm4NqVIu","uris":["http://zotero.org/users/4803578/items/KQA85K99"],"uri":["http://zotero.org/users/4803578/items/KQA85K99"],"itemData":{"id":28,"type":"article-journal","title":"Government, Geography, and Growth: The True Drivers of Economic Development","container-title":"Foreign Affairs","page":"142-150","volume":"91","issue":"5","source":"JSTOR","abstract":"According to Daron Acemoglu and James Robinson's Why Nations Fail, economic development hinges on a country s political institutions. But their monocausal analysis ignores other important factors (such as geography) that can also affect growth.","ISSN":"0015-7120","shortTitle":"Government, Geography, and Growth","author":[{"family":"Sachs","given":"Jeffrey D."}],"editor":[{"family":"ACEMOGLU","given":"DARON"},{"family":"ROBINSON","given":"JAMES"}],"issued":{"date-parts":[["2012"]]}}}],"schema":"https://github.com/citation-style-language/schema/raw/master/csl-citation.json"} </w:instrText>
      </w:r>
      <w:r w:rsidRPr="00096A22">
        <w:fldChar w:fldCharType="separate"/>
      </w:r>
      <w:r w:rsidR="004A7123" w:rsidRPr="007344DD">
        <w:rPr>
          <w:rFonts w:ascii="Calibri" w:hAnsi="Calibri" w:cs="Calibri"/>
        </w:rPr>
        <w:t>(Sachs 2012)</w:t>
      </w:r>
      <w:r w:rsidRPr="00096A22">
        <w:fldChar w:fldCharType="end"/>
      </w:r>
      <w:r w:rsidRPr="00096A22">
        <w:t>.</w:t>
      </w:r>
      <w:r w:rsidR="004A7123">
        <w:t xml:space="preserve"> </w:t>
      </w:r>
      <w:r w:rsidRPr="00096A22">
        <w:t xml:space="preserve">Despite these debates, existing research strongly suggests that improvements in the quality of government </w:t>
      </w:r>
      <w:r w:rsidR="00D557A4" w:rsidRPr="007344DD">
        <w:t>are</w:t>
      </w:r>
      <w:r w:rsidR="00D557A4" w:rsidRPr="00096A22">
        <w:rPr>
          <w:i/>
        </w:rPr>
        <w:t xml:space="preserve"> </w:t>
      </w:r>
      <w:r w:rsidRPr="00096A22">
        <w:rPr>
          <w:i/>
        </w:rPr>
        <w:t xml:space="preserve">one of </w:t>
      </w:r>
      <w:r w:rsidRPr="00096A22">
        <w:t>the most important ways to achieve large positive improvements in the economic and social conditions of a state.</w:t>
      </w:r>
    </w:p>
    <w:p w14:paraId="11C915D9" w14:textId="596405BB" w:rsidR="00667874" w:rsidRPr="00096A22" w:rsidRDefault="00667874" w:rsidP="00667874">
      <w:r w:rsidRPr="00096A22">
        <w:t xml:space="preserve">Importantly, the relationship between </w:t>
      </w:r>
      <w:r w:rsidR="00653FE7">
        <w:t>q</w:t>
      </w:r>
      <w:r w:rsidR="00987C1A">
        <w:t>uality of government</w:t>
      </w:r>
      <w:r w:rsidRPr="00096A22">
        <w:t xml:space="preserve"> and development is not automatic. For example, there is evidence that improvements in state capacity in developing countries only leads to </w:t>
      </w:r>
      <w:r w:rsidR="00C2526C">
        <w:t>better</w:t>
      </w:r>
      <w:r w:rsidRPr="00096A22">
        <w:t xml:space="preserve"> protection of labour rights when</w:t>
      </w:r>
      <w:r w:rsidR="00D557A4">
        <w:t xml:space="preserve"> it is</w:t>
      </w:r>
      <w:r w:rsidRPr="00096A22">
        <w:t xml:space="preserve"> combined with improvements in the representation of worker’s interests in political systems </w:t>
      </w:r>
      <w:r w:rsidRPr="00096A22">
        <w:fldChar w:fldCharType="begin"/>
      </w:r>
      <w:r w:rsidR="004A7123">
        <w:instrText xml:space="preserve"> ADDIN ZOTERO_ITEM CSL_CITATION {"citationID":"BMPoMGdv","properties":{"formattedCitation":"(Berliner et al. 2015)","plainCitation":"(Berliner et al. 2015)","noteIndex":0},"citationItems":[{"id":"GGZNlT61/QHalghUx","uris":["http://zotero.org/users/4803578/items/43NLBFEG"],"uri":["http://zotero.org/users/4803578/items/43NLBFEG"],"itemData":{"id":11,"type":"article-journal","title":"Building Capacity, Building Rights? State Capacity and Labor Rights in Developing Countries","container-title":"World Development","page":"127-139","volume":"72","issue":"Supplement C","source":"ScienceDirect","abstract":"Summary\nBuilding state capacity has often been hailed as a cure-all for the ailments of the developing world and has been linked to human rights improvements, economic development, and the enforcement of property rights. Low state capacity, on the other hand, has been viewed as one of the primary impediments to improvements of labor rights and other social justice issues. We examine the relationship between state capacity and the protection of labor rights in panels of 85 developing countries, and 34 “supply-chain-relevant” countries. We find that changes in state capacity are only associated with changes in labor rights in countries where workers’ interests are better represented in the political system – measured alternately as left party power, democracy, union density, and potential labor power. Our findings highlight the importance of combinations of state capacity and political will in leading to improved rights of workers in global supply chains.","DOI":"10.1016/j.worlddev.2015.02.018","ISSN":"0305-750X","shortTitle":"Building Capacity, Building Rights?","journalAbbreviation":"World Development","author":[{"family":"Berliner","given":"Daniel"},{"family":"Greenleaf","given":"Anne"},{"family":"Lake","given":"Milli"},{"family":"Noveck","given":"Jennifer"}],"issued":{"date-parts":[["2015",8,1]]}}}],"schema":"https://github.com/citation-style-language/schema/raw/master/csl-citation.json"} </w:instrText>
      </w:r>
      <w:r w:rsidRPr="00096A22">
        <w:fldChar w:fldCharType="separate"/>
      </w:r>
      <w:r w:rsidR="004A7123" w:rsidRPr="007344DD">
        <w:rPr>
          <w:rFonts w:ascii="Calibri" w:hAnsi="Calibri" w:cs="Calibri"/>
        </w:rPr>
        <w:t>(Berliner et al. 2015)</w:t>
      </w:r>
      <w:r w:rsidRPr="00096A22">
        <w:fldChar w:fldCharType="end"/>
      </w:r>
      <w:r w:rsidRPr="00096A22">
        <w:t>.</w:t>
      </w:r>
      <w:r w:rsidR="004A7123">
        <w:t xml:space="preserve"> </w:t>
      </w:r>
      <w:r w:rsidRPr="00096A22">
        <w:t>Given this background of research in the social sciences</w:t>
      </w:r>
      <w:r w:rsidR="00C2526C">
        <w:t>,</w:t>
      </w:r>
      <w:r w:rsidRPr="00096A22">
        <w:t xml:space="preserve"> </w:t>
      </w:r>
      <w:r w:rsidRPr="00096A22">
        <w:rPr>
          <w:b/>
          <w:i/>
        </w:rPr>
        <w:t>a research agenda that looks at the relationship between quality of government and the broad range of environmental, social, and economic SDG targets appears to be particularly important when assessing the significance of institutional capacity for effective implementation of Agenda 2030</w:t>
      </w:r>
      <w:r w:rsidRPr="00096A22">
        <w:t>. This is because we can expect there to be important variations in how different types of SDG targets, different sectors, and different country contexts are influenced b</w:t>
      </w:r>
      <w:r w:rsidR="00C2526C">
        <w:t>y</w:t>
      </w:r>
      <w:r w:rsidRPr="00096A22">
        <w:t xml:space="preserve"> the quality of government. Research on environmental policy and management is one good example from the existing literature that supports this proposed research agenda.</w:t>
      </w:r>
    </w:p>
    <w:p w14:paraId="6A57CE71" w14:textId="11C0542F" w:rsidR="00667874" w:rsidRPr="00096A22" w:rsidRDefault="00667874" w:rsidP="00667874">
      <w:r w:rsidRPr="00096A22">
        <w:t>There is evidence that corruption leads to more energy</w:t>
      </w:r>
      <w:r w:rsidR="00C2526C">
        <w:t>-</w:t>
      </w:r>
      <w:r w:rsidRPr="00096A22">
        <w:t xml:space="preserve">intensive production and less stringent environmental regulation </w:t>
      </w:r>
      <w:r w:rsidRPr="00096A22">
        <w:fldChar w:fldCharType="begin"/>
      </w:r>
      <w:r w:rsidR="004A7123">
        <w:instrText xml:space="preserve"> ADDIN ZOTERO_ITEM CSL_CITATION {"citationID":"CpFgjwEy","properties":{"formattedCitation":"(Cole 2007; Fredriksson and Svensson 2003; Fredriksson et al. 2004)","plainCitation":"(Cole 2007; Fredriksson and Svensson 2003; Fredriksson et al. 2004)","noteIndex":0},"citationItems":[{"id":"GGZNlT61/Fn4RrgsP","uris":["http://zotero.org/users/4803578/items/55E7KKLX"],"uri":["http://zotero.org/users/4803578/items/55E7KKLX"],"itemData":{"id":99,"type":"article-journal","title":"Corruption, income and the environment: an empirical analysis","container-title":"Ecological Economics","page":"637–647","volume":"62","issue":"3-4","source":"Google Scholar","shortTitle":"Corruption, income and the environment","author":[{"family":"Cole","given":"Matthew A."}],"issued":{"date-parts":[["2007"]]}}},{"id":"GGZNlT61/rxPigqVj","uris":["http://zotero.org/users/4803578/items/LUP9Q4V4"],"uri":["http://zotero.org/users/4803578/items/LUP9Q4V4"],"itemData":{"id":98,"type":"article-journal","title":"Political instability, corruption and policy formation: the case of environmental policy","container-title":"Journal of Public Economics","page":"1383-1405","volume":"87","issue":"7","source":"ScienceDirect","abstract":"This paper develops a theory of environmental policy formation, taking into consideration the degree of corruptibility and political turbulence. The predictions that emerge are that the interaction between the two variables is important. Political instability has a negative effect on the stringency of environmental regulations if the level of corruption is low, but a positive effect when the degree of corruption is high. Corruption reduces the stringency of environmental regulations, but the effect disappears as political instability increases. The empirical findings are fully consistent with the predictions of the model.","DOI":"10.1016/S0047-2727(02)00036-1","ISSN":"0047-2727","shortTitle":"Political instability, corruption and policy formation","journalAbbreviation":"Journal of Public Economics","author":[{"family":"Fredriksson","given":"Per G."},{"family":"Svensson","given":"Jakob"}],"issued":{"date-parts":[["2003",8,1]]}}},{"id":"GGZNlT61/I9MGmqfK","uris":["http://zotero.org/users/4803578/items/76EJ34UW"],"uri":["http://zotero.org/users/4803578/items/76EJ34UW"],"itemData":{"id":97,"type":"article-journal","title":"Corruption and energy efficiency in OECD countries: theory and evidence","container-title":"Journal of Environmental Economics and Management","page":"207-231","volume":"47","issue":"2","source":"ScienceDirect","abstract":"We investigate the effect of corruption and industry sector size on energy policy outcomes. The main predictions of our theory are that: (i) greater corruptibility of policy makers reduces energy policy stringency; (ii) greater lobby group coordination costs (increased industry sector size) results in more stringent energy policy; and (iii) workers’ and capital owners’ lobbying efforts on energy policy are negatively related. These predictions are tested using a unique panel data set on the energy intensity of 11 sectors in 12 OECD countries for years 1982–1996. The evidence generally supports the predictions.","DOI":"10.1016/j.jeem.2003.08.001","ISSN":"0095-0696","shortTitle":"Corruption and energy efficiency in OECD countries","journalAbbreviation":"Journal of Environmental Economics and Management","author":[{"family":"Fredriksson","given":"Per G."},{"family":"Vollebergh","given":"Herman R. J."},{"family":"Dijkgraaf","given":"Elbert"}],"issued":{"date-parts":[["2004",3,1]]}}}],"schema":"https://github.com/citation-style-language/schema/raw/master/csl-citation.json"} </w:instrText>
      </w:r>
      <w:r w:rsidRPr="00096A22">
        <w:fldChar w:fldCharType="separate"/>
      </w:r>
      <w:r w:rsidR="004A7123" w:rsidRPr="007344DD">
        <w:rPr>
          <w:rFonts w:ascii="Calibri" w:hAnsi="Calibri" w:cs="Calibri"/>
        </w:rPr>
        <w:t>(Cole 2007; Fredriksson and Svensson 2003; Fredriksson et al. 2004)</w:t>
      </w:r>
      <w:r w:rsidRPr="00096A22">
        <w:fldChar w:fldCharType="end"/>
      </w:r>
      <w:r w:rsidRPr="00096A22">
        <w:t>. At the same time</w:t>
      </w:r>
      <w:r w:rsidR="00C2526C">
        <w:t>, Cole</w:t>
      </w:r>
      <w:r w:rsidRPr="00096A22">
        <w:t xml:space="preserve"> </w:t>
      </w:r>
      <w:r w:rsidRPr="00096A22">
        <w:fldChar w:fldCharType="begin"/>
      </w:r>
      <w:r w:rsidR="004A7123">
        <w:instrText xml:space="preserve"> ADDIN ZOTERO_ITEM CSL_CITATION {"citationID":"abr2c33891","properties":{"formattedCitation":"(Cole 2007)","plainCitation":"(Cole 2007)","noteIndex":0},"citationItems":[{"id":"GGZNlT61/Fn4RrgsP","uris":["http://zotero.org/users/4803578/items/55E7KKLX"],"uri":["http://zotero.org/users/4803578/items/55E7KKLX"],"itemData":{"id":99,"type":"article-journal","title":"Corruption, income and the environment: an empirical analysis","container-title":"Ecological Economics","page":"637–647","volume":"62","issue":"3-4","source":"Google Scholar","shortTitle":"Corruption, income and the environment","author":[{"family":"Cole","given":"Matthew A."}],"issued":{"date-parts":[["2007"]]}}}],"schema":"https://github.com/citation-style-language/schema/raw/master/csl-citation.json"} </w:instrText>
      </w:r>
      <w:r w:rsidRPr="00096A22">
        <w:fldChar w:fldCharType="separate"/>
      </w:r>
      <w:r w:rsidR="00257B38" w:rsidRPr="00257B38">
        <w:rPr>
          <w:rFonts w:ascii="Calibri" w:hAnsi="Calibri" w:cs="Calibri"/>
        </w:rPr>
        <w:t>(</w:t>
      </w:r>
      <w:r w:rsidR="004A7123" w:rsidRPr="007344DD">
        <w:rPr>
          <w:rFonts w:ascii="Calibri" w:hAnsi="Calibri" w:cs="Calibri"/>
        </w:rPr>
        <w:t>2007)</w:t>
      </w:r>
      <w:r w:rsidRPr="00096A22">
        <w:fldChar w:fldCharType="end"/>
      </w:r>
      <w:r w:rsidRPr="00096A22">
        <w:t xml:space="preserve"> finds that the indirect negative impact of corruption on economic growth means that corruption actually has a net negative impact on SO</w:t>
      </w:r>
      <w:r w:rsidRPr="00096A22">
        <w:rPr>
          <w:vertAlign w:val="subscript"/>
        </w:rPr>
        <w:t>2</w:t>
      </w:r>
      <w:r w:rsidRPr="00096A22">
        <w:t xml:space="preserve"> and CO</w:t>
      </w:r>
      <w:r w:rsidRPr="00096A22">
        <w:rPr>
          <w:vertAlign w:val="subscript"/>
        </w:rPr>
        <w:t>2</w:t>
      </w:r>
      <w:r w:rsidRPr="00096A22">
        <w:t xml:space="preserve"> emissions. </w:t>
      </w:r>
      <w:r w:rsidRPr="00096A22">
        <w:rPr>
          <w:b/>
          <w:i/>
        </w:rPr>
        <w:t xml:space="preserve">This research suggests a need to better understand the potential for trade-offs between gains in the </w:t>
      </w:r>
      <w:r w:rsidR="00653FE7">
        <w:rPr>
          <w:b/>
          <w:i/>
        </w:rPr>
        <w:t>q</w:t>
      </w:r>
      <w:r w:rsidR="00987C1A">
        <w:rPr>
          <w:b/>
          <w:i/>
        </w:rPr>
        <w:t>uality of government</w:t>
      </w:r>
      <w:r w:rsidRPr="00096A22">
        <w:rPr>
          <w:b/>
          <w:i/>
        </w:rPr>
        <w:t xml:space="preserve"> and environmentally oriented SDG targets, and </w:t>
      </w:r>
      <w:r w:rsidRPr="00096A22">
        <w:rPr>
          <w:b/>
          <w:i/>
        </w:rPr>
        <w:lastRenderedPageBreak/>
        <w:t>how to mitigate any potential conflicts.</w:t>
      </w:r>
      <w:r w:rsidRPr="00096A22">
        <w:rPr>
          <w:b/>
        </w:rPr>
        <w:t xml:space="preserve"> </w:t>
      </w:r>
      <w:r w:rsidRPr="00096A22">
        <w:t>For more socially oriented SDG targets</w:t>
      </w:r>
      <w:r w:rsidR="0086456C">
        <w:t>,</w:t>
      </w:r>
      <w:r w:rsidRPr="00096A22">
        <w:t xml:space="preserve"> one might assume that such trade-offs are absent, could </w:t>
      </w:r>
      <w:r w:rsidR="004A11FA">
        <w:t>they exist in</w:t>
      </w:r>
      <w:r w:rsidRPr="00096A22">
        <w:t xml:space="preserve"> some contexts? Understanding how interventions designed to improve the </w:t>
      </w:r>
      <w:r w:rsidR="00653FE7">
        <w:t>q</w:t>
      </w:r>
      <w:r w:rsidR="00987C1A">
        <w:t>uality of government</w:t>
      </w:r>
      <w:r w:rsidRPr="00096A22">
        <w:t xml:space="preserve"> impacts across the three pillars of sustainability will provide use with a deeper understanding of the governance challenges of Agenda 2030 implementation.</w:t>
      </w:r>
    </w:p>
    <w:p w14:paraId="4597B020" w14:textId="1CB8E044" w:rsidR="00667874" w:rsidRPr="00096A22" w:rsidRDefault="00667874" w:rsidP="00667874">
      <w:r w:rsidRPr="00096A22">
        <w:t xml:space="preserve">Importantly, research indicates that low </w:t>
      </w:r>
      <w:r w:rsidR="00653FE7">
        <w:t>q</w:t>
      </w:r>
      <w:r w:rsidR="00987C1A">
        <w:t>uality of government</w:t>
      </w:r>
      <w:r w:rsidRPr="00096A22">
        <w:t xml:space="preserve"> is associated with lower comparative commitment to sustainability. Thus, improvements in institutional performance are expected to lead to both growth and more stringent environmental policies </w:t>
      </w:r>
      <w:r w:rsidRPr="00096A22">
        <w:fldChar w:fldCharType="begin"/>
      </w:r>
      <w:r w:rsidR="004A7123">
        <w:instrText xml:space="preserve"> ADDIN ZOTERO_ITEM CSL_CITATION {"citationID":"as8s06d73t","properties":{"formattedCitation":"(Pellegrini and Gerlagh 2006)","plainCitation":"(Pellegrini and Gerlagh 2006)","noteIndex":0},"citationItems":[{"id":"GGZNlT61/yr1OeFbJ","uris":["http://zotero.org/users/4803578/items/3HPPUN99"],"uri":["http://zotero.org/users/4803578/items/3HPPUN99"],"itemData":{"id":21,"type":"article-journal","title":"Corruption, Democracy, and Environmental Policy: An Empirical Contribution to the Debate","container-title":"The Journal of Environment &amp; Development","page":"332-354","volume":"15","issue":"3","source":"SAGE Journals","abstract":"Theoretical and empirical studies have shown that democracy and corruption influence environmental policies. In this article, the authors empirically analyze the relative importance of these determinants of environmental policy. When these variables are jointly included as explanatory variables in a multiple regression analysis, the authors found that corruption stands out as a substantial and significant determinant of environmental policies, while proxies for democracy have an insignificant impact. Nevertheless, democracy could affect environmental policy stringency given that countries with a history of democratic rule tend to be less corrupted. The authors argue that improving environmental quality following increasing income is less probable in developing countries with institutional disarray. Finally, and more optimistically, when considering the results in the context of institutions and growth, the authors conclude that there is scope for reaping a double dividend, when institutional improvements and reductions in corruption induce higher economic growth rates and stricter environmental policies.","DOI":"10.1177/1070496506290960","ISSN":"1070-4965","shortTitle":"Corruption, Democracy, and Environmental Policy","journalAbbreviation":"The Journal of Environment &amp; Development","language":"en","author":[{"family":"Pellegrini","given":"Lorenzo"},{"family":"Gerlagh","given":"Reyer"}],"issued":{"date-parts":[["2006",9,1]]}}}],"schema":"https://github.com/citation-style-language/schema/raw/master/csl-citation.json"} </w:instrText>
      </w:r>
      <w:r w:rsidRPr="00096A22">
        <w:fldChar w:fldCharType="separate"/>
      </w:r>
      <w:r w:rsidR="004A7123" w:rsidRPr="007344DD">
        <w:rPr>
          <w:rFonts w:ascii="Calibri" w:hAnsi="Calibri" w:cs="Calibri"/>
        </w:rPr>
        <w:t>(Pellegrini and Gerlagh 2006)</w:t>
      </w:r>
      <w:r w:rsidRPr="00096A22">
        <w:fldChar w:fldCharType="end"/>
      </w:r>
      <w:r w:rsidRPr="00096A22">
        <w:t>.</w:t>
      </w:r>
      <w:r w:rsidR="002238D0">
        <w:t xml:space="preserve"> Leitao</w:t>
      </w:r>
      <w:r w:rsidRPr="00096A22">
        <w:t xml:space="preserve"> </w:t>
      </w:r>
      <w:r w:rsidRPr="00096A22">
        <w:fldChar w:fldCharType="begin"/>
      </w:r>
      <w:r w:rsidR="004A7123">
        <w:instrText xml:space="preserve"> ADDIN ZOTERO_ITEM CSL_CITATION {"citationID":"a204g7ek41b","properties":{"formattedCitation":"(Leitao 2010)","plainCitation":"(Leitao 2010)","noteIndex":0},"citationItems":[{"id":"GGZNlT61/oajizw1q","uris":["http://zotero.org/users/4803578/items/V379M6IQ"],"uri":["http://zotero.org/users/4803578/items/V379M6IQ"],"itemData":{"id":101,"type":"article-journal","title":"Corruption and the environmental Kuznets Curve: Empirical evidence for sulfur","container-title":"Ecological Economics","page":"2191–2201","volume":"69","issue":"11","source":"Google Scholar","shortTitle":"Corruption and the environmental Kuznets Curve","author":[{"family":"Leitao","given":"Alexandra"}],"issued":{"date-parts":[["2010"]]}}}],"schema":"https://github.com/citation-style-language/schema/raw/master/csl-citation.json"} </w:instrText>
      </w:r>
      <w:r w:rsidRPr="00096A22">
        <w:fldChar w:fldCharType="separate"/>
      </w:r>
      <w:r w:rsidR="00257B38" w:rsidRPr="00257B38">
        <w:rPr>
          <w:rFonts w:ascii="Calibri" w:hAnsi="Calibri" w:cs="Calibri"/>
        </w:rPr>
        <w:t>(</w:t>
      </w:r>
      <w:r w:rsidR="004A7123" w:rsidRPr="007344DD">
        <w:rPr>
          <w:rFonts w:ascii="Calibri" w:hAnsi="Calibri" w:cs="Calibri"/>
        </w:rPr>
        <w:t>2010)</w:t>
      </w:r>
      <w:r w:rsidRPr="00096A22">
        <w:fldChar w:fldCharType="end"/>
      </w:r>
      <w:r w:rsidRPr="00096A22">
        <w:t xml:space="preserve"> finds that the higher the degree of corruption in a country</w:t>
      </w:r>
      <w:r w:rsidR="002238D0">
        <w:t>,</w:t>
      </w:r>
      <w:r w:rsidRPr="00096A22">
        <w:t xml:space="preserve"> the higher per-capita income will be at the turning point of an inver</w:t>
      </w:r>
      <w:r w:rsidR="002238D0">
        <w:t>ted-</w:t>
      </w:r>
      <w:r w:rsidRPr="00096A22">
        <w:t>U environmental Kuznets curve.</w:t>
      </w:r>
      <w:r w:rsidRPr="00FE1BFF">
        <w:rPr>
          <w:rStyle w:val="FootnoteReference"/>
        </w:rPr>
        <w:footnoteReference w:id="1"/>
      </w:r>
      <w:r w:rsidRPr="00096A22">
        <w:t xml:space="preserve"> There appear to be important direct and indirect impacts to consider, </w:t>
      </w:r>
      <w:r w:rsidR="002238D0">
        <w:t xml:space="preserve">such as those </w:t>
      </w:r>
      <w:r w:rsidRPr="00096A22">
        <w:t>associated with</w:t>
      </w:r>
      <w:r w:rsidR="002238D0">
        <w:t xml:space="preserve"> </w:t>
      </w:r>
      <w:r w:rsidRPr="00096A22">
        <w:t xml:space="preserve">the size of government </w:t>
      </w:r>
      <w:r w:rsidRPr="00096A22">
        <w:fldChar w:fldCharType="begin"/>
      </w:r>
      <w:r w:rsidR="004A7123">
        <w:instrText xml:space="preserve"> ADDIN ZOTERO_ITEM CSL_CITATION {"citationID":"a1lr4j8uc8s","properties":{"formattedCitation":"(Halkos and Paizanos 2013)","plainCitation":"(Halkos and Paizanos 2013)","noteIndex":0},"citationItems":[{"id":"GGZNlT61/O1wy34sW","uris":["http://zotero.org/users/4803578/items/367C2B9Z"],"uri":["http://zotero.org/users/4803578/items/367C2B9Z"],"itemData":{"id":103,"type":"article-journal","title":"The effect of government expenditure on the environment: An empirical investigation","container-title":"Ecological Economics","page":"48–56","volume":"91","source":"Google Scholar","shortTitle":"The effect of government expenditure on the environment","author":[{"family":"Halkos","given":"George E."},{"family":"Paizanos","given":"Epameinondas A."}],"issued":{"date-parts":[["2013"]]}}}],"schema":"https://github.com/citation-style-language/schema/raw/master/csl-citation.json"} </w:instrText>
      </w:r>
      <w:r w:rsidRPr="00096A22">
        <w:fldChar w:fldCharType="separate"/>
      </w:r>
      <w:r w:rsidR="004A7123" w:rsidRPr="007344DD">
        <w:rPr>
          <w:rFonts w:ascii="Calibri" w:hAnsi="Calibri" w:cs="Calibri"/>
        </w:rPr>
        <w:t>(Halkos and Paizanos 2013)</w:t>
      </w:r>
      <w:r w:rsidRPr="00096A22">
        <w:fldChar w:fldCharType="end"/>
      </w:r>
      <w:r w:rsidRPr="00096A22">
        <w:t xml:space="preserve">. </w:t>
      </w:r>
      <w:r w:rsidRPr="00096A22">
        <w:rPr>
          <w:b/>
          <w:i/>
        </w:rPr>
        <w:t xml:space="preserve">Disentangling these relationships may contribute to strategic thinking on reform priorities. </w:t>
      </w:r>
      <w:r w:rsidRPr="00096A22">
        <w:t xml:space="preserve">For example, </w:t>
      </w:r>
      <w:r w:rsidR="00F80506" w:rsidRPr="00096A22">
        <w:t xml:space="preserve">Tamazian and Bhaskara Rao </w:t>
      </w:r>
      <w:r w:rsidRPr="00096A22">
        <w:fldChar w:fldCharType="begin"/>
      </w:r>
      <w:r w:rsidR="004A7123">
        <w:instrText xml:space="preserve"> ADDIN ZOTERO_ITEM CSL_CITATION {"citationID":"a14au45bu7","properties":{"formattedCitation":"(Tamazian and Bhaskara Rao 2010)","plainCitation":"(Tamazian and Bhaskara Rao 2010)","noteIndex":0},"citationItems":[{"id":"GGZNlT61/ErAuFS2A","uris":["http://zotero.org/users/4803578/items/25FV6SB5"],"uri":["http://zotero.org/users/4803578/items/25FV6SB5"],"itemData":{"id":23,"type":"article-journal","title":"Do economic, financial and institutional developments matter for environmental degradation? Evidence from transitional economies","container-title":"Energy Economics","page":"137-145","volume":"32","issue":"1","source":"ScienceDirect","abstract":"Several studies have examined the relationship between environmental degradation and economic growth. However, most of them did not take into account financial developments and institutional quality. Moreover, Stern [Stern, D., 2004. The rise and fall of the environmental Kuznets curve. World Development 32(8): 1419–1439.] noted that there are important econometric weaknesses in the earlier studies, such as endogeneity, heteroscedasticity, omitted variables, etc. The purpose of this paper is to fill this gap in the literature by investigating the linkage between not only economic development and environmental quality but also financial development and institutional quality. We employ the standard reduced-form modelling approach to control for country-specific unobserved heterogeneity and GMM estimation to control for endogeneity. Our study considers 24 transition economies and panel data for 1993–2004. Our results support the EKC hypothesis while confirming the importance of both institutional quality and financial development for environmental performance. We also found that financial liberalization may be harmful for environmental quality if it is not accomplished in a strong institutional framework.","DOI":"10.1016/j.eneco.2009.04.004","ISSN":"0140-9883","shortTitle":"Do economic, financial and institutional developments matter for environmental degradation?","journalAbbreviation":"Energy Economics","author":[{"family":"Tamazian","given":"Artur"},{"family":"Bhaskara Rao","given":"B."}],"issued":{"date-parts":[["2010",1,1]]}}}],"schema":"https://github.com/citation-style-language/schema/raw/master/csl-citation.json"} </w:instrText>
      </w:r>
      <w:r w:rsidRPr="00096A22">
        <w:fldChar w:fldCharType="separate"/>
      </w:r>
      <w:r w:rsidR="004A7123" w:rsidRPr="007344DD">
        <w:rPr>
          <w:rFonts w:ascii="Calibri" w:hAnsi="Calibri" w:cs="Calibri"/>
        </w:rPr>
        <w:t>(2010)</w:t>
      </w:r>
      <w:r w:rsidRPr="00096A22">
        <w:fldChar w:fldCharType="end"/>
      </w:r>
      <w:r w:rsidRPr="00096A22">
        <w:t xml:space="preserve"> find that financial liberalisation</w:t>
      </w:r>
      <w:r w:rsidR="007C2CE1">
        <w:t xml:space="preserve"> and </w:t>
      </w:r>
      <w:r w:rsidRPr="00096A22">
        <w:t xml:space="preserve">increased trade openness may be harmful for environmental quality if not proceeded by the strengthening of public institutions. </w:t>
      </w:r>
      <w:r w:rsidRPr="00096A22">
        <w:rPr>
          <w:b/>
          <w:i/>
        </w:rPr>
        <w:t>Thus, identifying which institutional capacities are most important can make an important contribution to green growth in transition economies.</w:t>
      </w:r>
    </w:p>
    <w:p w14:paraId="674C84C1" w14:textId="028AECF9" w:rsidR="00667874" w:rsidRPr="00096A22" w:rsidRDefault="00667874" w:rsidP="007344DD">
      <w:pPr>
        <w:pStyle w:val="Heading3"/>
        <w:numPr>
          <w:ilvl w:val="0"/>
          <w:numId w:val="0"/>
        </w:numPr>
        <w:ind w:left="720" w:hanging="720"/>
      </w:pPr>
      <w:bookmarkStart w:id="28" w:name="_Toc529789837"/>
      <w:r w:rsidRPr="00096A22">
        <w:t xml:space="preserve">More </w:t>
      </w:r>
      <w:r w:rsidR="00560B94">
        <w:t>d</w:t>
      </w:r>
      <w:r w:rsidRPr="00096A22">
        <w:t xml:space="preserve">eveloped </w:t>
      </w:r>
      <w:r w:rsidR="00560B94">
        <w:t>c</w:t>
      </w:r>
      <w:r w:rsidRPr="00096A22">
        <w:t>ountries</w:t>
      </w:r>
      <w:bookmarkEnd w:id="28"/>
    </w:p>
    <w:p w14:paraId="7D8DC4BD" w14:textId="26B1C554" w:rsidR="00667874" w:rsidRPr="00096A22" w:rsidRDefault="00667874" w:rsidP="00667874">
      <w:r w:rsidRPr="00096A22">
        <w:t xml:space="preserve">Although targets under SDG 17 are often framed in terms of assistance developed countries can provide to developing countries, the SDGs are a framework that applies to both less and more developed regions. Quality of governance is clearly relevant to the achievement of SDGs in developed states, and research on the institutional conditions for </w:t>
      </w:r>
      <w:r w:rsidR="00CC68E6">
        <w:t xml:space="preserve">an </w:t>
      </w:r>
      <w:r w:rsidRPr="00096A22">
        <w:t xml:space="preserve">SDG within </w:t>
      </w:r>
      <w:r w:rsidR="00CC68E6">
        <w:t xml:space="preserve">a </w:t>
      </w:r>
      <w:r w:rsidRPr="00096A22">
        <w:t xml:space="preserve">developed state will often be highly relevant to developing country contexts as well. Moreover, </w:t>
      </w:r>
      <w:r w:rsidR="00653FE7">
        <w:t>q</w:t>
      </w:r>
      <w:r w:rsidR="00987C1A">
        <w:t>uality of government</w:t>
      </w:r>
      <w:r w:rsidRPr="00096A22">
        <w:t xml:space="preserve"> in both more developed and less developed countries will impact the prospects for improving the global partnership for implementing Agenda 2030.</w:t>
      </w:r>
    </w:p>
    <w:p w14:paraId="42C184B1" w14:textId="7BD5AB6B" w:rsidR="00667874" w:rsidRPr="00096A22" w:rsidRDefault="00CC68E6" w:rsidP="00667874">
      <w:r w:rsidRPr="00096A22">
        <w:t>Friedman et al.</w:t>
      </w:r>
      <w:r>
        <w:t xml:space="preserve"> </w:t>
      </w:r>
      <w:r w:rsidR="00667874" w:rsidRPr="00096A22">
        <w:fldChar w:fldCharType="begin"/>
      </w:r>
      <w:r w:rsidR="004A7123">
        <w:instrText xml:space="preserve"> ADDIN ZOTERO_ITEM CSL_CITATION {"citationID":"apafa8jbhq","properties":{"formattedCitation":"(2000)","plainCitation":"(2000)","noteIndex":0},"citationItems":[{"id":"GGZNlT61/0RdGsgsk","uris":["http://zotero.org/users/4803578/items/35A65GDA"],"uri":["http://zotero.org/users/4803578/items/35A65GDA"],"itemData":{"id":63,"type":"article-journal","title":"Dodging the grabbing hand: the determinants of unofficial activity in 69 countries","container-title":"Journal of Public Economics","page":"459-493","volume":"76","issue":"3","source":"ScienceDirect","abstract":"Across 69 countries, higher tax rates are associated with less unofficial activity as a percent of GDP but corruption is associated with more unofficial activity. Entrepreneurs go underground not to avoid official taxes but to reduce the burden of bureaucracy and corruption. Dodging the ‘grabbing hand’ in this way reduces tax revenues as a percent of both official and total GDP. As a result, corrupt governments become small governments and only relatively uncorrupt governments can sustain high tax rates.","DOI":"10.1016/S0047-2727(99)00093-6","ISSN":"0047-2727","shortTitle":"Dodging the grabbing hand","journalAbbreviation":"Journal of Public Economics","author":[{"family":"Friedman","given":"Eric"},{"family":"Johnson","given":"Simon"},{"family":"Kaufmann","given":"Daniel"},{"family":"Zoido-Lobaton","given":"Pablo"}],"issued":{"date-parts":[["2000",6,1]]}}}],"schema":"https://github.com/citation-style-language/schema/raw/master/csl-citation.json"} </w:instrText>
      </w:r>
      <w:r w:rsidR="00667874" w:rsidRPr="00096A22">
        <w:fldChar w:fldCharType="separate"/>
      </w:r>
      <w:r w:rsidR="004A7123" w:rsidRPr="007344DD">
        <w:rPr>
          <w:rFonts w:ascii="Calibri" w:hAnsi="Calibri" w:cs="Calibri"/>
        </w:rPr>
        <w:t>(2000)</w:t>
      </w:r>
      <w:r w:rsidR="00667874" w:rsidRPr="00096A22">
        <w:fldChar w:fldCharType="end"/>
      </w:r>
      <w:r w:rsidR="00667874" w:rsidRPr="00096A22">
        <w:t xml:space="preserve"> find that states are only able to maintain high</w:t>
      </w:r>
      <w:r w:rsidR="00F33465">
        <w:t xml:space="preserve"> </w:t>
      </w:r>
      <w:r w:rsidR="00667874" w:rsidRPr="00096A22">
        <w:t xml:space="preserve">levels of taxation where levels of corruption are kept low. </w:t>
      </w:r>
      <w:r w:rsidR="00F33465" w:rsidRPr="00096A22">
        <w:t xml:space="preserve">Gyorffy </w:t>
      </w:r>
      <w:r w:rsidR="00667874" w:rsidRPr="00096A22">
        <w:fldChar w:fldCharType="begin"/>
      </w:r>
      <w:r w:rsidR="004A7123">
        <w:instrText xml:space="preserve"> ADDIN ZOTERO_ITEM CSL_CITATION {"citationID":"a1sljfp1fkg","properties":{"formattedCitation":"(Gyorffy 2012)","plainCitation":"(Gyorffy 2012)","noteIndex":0},"citationItems":[{"id":"GGZNlT61/Rvs6Vshl","uris":["http://zotero.org/users/4803578/items/IIUFEQ94"],"uri":["http://zotero.org/users/4803578/items/IIUFEQ94"],"itemData":{"id":65,"type":"book","title":"Institutional trust and economic policy: Lessons from the history of the euro","publisher":"Central European University Press","source":"Google Scholar","shortTitle":"Institutional trust and economic policy","author":[{"family":"Gyorffy","given":"Dora"}],"issued":{"date-parts":[["2012"]]}}}],"schema":"https://github.com/citation-style-language/schema/raw/master/csl-citation.json"} </w:instrText>
      </w:r>
      <w:r w:rsidR="00667874" w:rsidRPr="00096A22">
        <w:fldChar w:fldCharType="separate"/>
      </w:r>
      <w:r w:rsidR="004A7123" w:rsidRPr="007344DD">
        <w:rPr>
          <w:rFonts w:ascii="Calibri" w:hAnsi="Calibri" w:cs="Calibri"/>
        </w:rPr>
        <w:t>(2012)</w:t>
      </w:r>
      <w:r w:rsidR="00667874" w:rsidRPr="00096A22">
        <w:fldChar w:fldCharType="end"/>
      </w:r>
      <w:r w:rsidR="00667874" w:rsidRPr="00096A22">
        <w:t xml:space="preserve"> argues that high levels of trust in public institutions allow for longer</w:t>
      </w:r>
      <w:r w:rsidR="00F33465">
        <w:t>-</w:t>
      </w:r>
      <w:r w:rsidR="00667874" w:rsidRPr="00096A22">
        <w:t xml:space="preserve">term planning and long-term investment by various agents. There is empirical evidence of this time horizon effect in a European context. For example, </w:t>
      </w:r>
      <w:r w:rsidR="00F33465" w:rsidRPr="00096A22">
        <w:t>Nistotskaya</w:t>
      </w:r>
      <w:r w:rsidR="00257B38">
        <w:t xml:space="preserve"> et al.</w:t>
      </w:r>
      <w:r w:rsidR="00F33465" w:rsidRPr="00096A22">
        <w:t xml:space="preserve"> </w:t>
      </w:r>
      <w:r w:rsidR="00667874" w:rsidRPr="00096A22">
        <w:fldChar w:fldCharType="begin"/>
      </w:r>
      <w:r w:rsidR="004A7123">
        <w:instrText xml:space="preserve"> ADDIN ZOTERO_ITEM CSL_CITATION {"citationID":"au1jfhdkop","properties":{"formattedCitation":"(Nistotskaya et al. 2015)","plainCitation":"(Nistotskaya et al. 2015)","noteIndex":0},"citationItems":[{"id":"GGZNlT61/0LUdRUUL","uris":["http://zotero.org/users/4803578/items/MT9KD3WY"],"uri":["http://zotero.org/users/4803578/items/MT9KD3WY"],"itemData":{"id":66,"type":"article-journal","title":"The wealth of regions: quality of government and SMEs in 172 European           regions","container-title":"Environment and Planning C: Government and Policy","page":"1125-1155","volume":"33","issue":"5","source":"SAGE Journals","abstract":"With this paper we put forward a novel theoretical argument that the individual’s           subjective evaluations of the quality of government (QoG) in terms of its impartiality           influences his or her complex assessments of the opportunity and feasibility of a business           venture, and calculations on expected long-term utility from business venturing. This in           turn affects his or her decision to engage in legal business venturing or not. We           hypothesize that high QoG is linked with higher rates of small and medium-sized           enterprises (SMEs) in a polity and a more even pattern of their territorial dispersion.           Using original survey data on QoG from 172 regions in eighteen European Union countries,           we find that regions where governments are perceived by their citizens as impartial and           free from corruption have on average significantly more SMEs. We also find that in less           corrupt countries the spatial distribution of SMEs is more even than in more corrupt           countries.","DOI":"10.1177/0263774X15610058","ISSN":"0263-774X","shortTitle":"The wealth of regions","journalAbbreviation":"Environ Plann C Gov Policy","language":"en","author":[{"family":"Nistotskaya","given":"Marina"},{"family":"Charron","given":"Nicholas"},{"family":"Lapuente","given":"Victor"}],"issued":{"date-parts":[["2015",10,1]]}}}],"schema":"https://github.com/citation-style-language/schema/raw/master/csl-citation.json"} </w:instrText>
      </w:r>
      <w:r w:rsidR="00667874" w:rsidRPr="00096A22">
        <w:fldChar w:fldCharType="separate"/>
      </w:r>
      <w:r w:rsidR="004A7123" w:rsidRPr="007344DD">
        <w:rPr>
          <w:rFonts w:ascii="Calibri" w:hAnsi="Calibri" w:cs="Calibri"/>
        </w:rPr>
        <w:t>(2015)</w:t>
      </w:r>
      <w:r w:rsidR="00667874" w:rsidRPr="00096A22">
        <w:fldChar w:fldCharType="end"/>
      </w:r>
      <w:r w:rsidR="00667874" w:rsidRPr="00096A22">
        <w:t xml:space="preserve"> find that where residents report that governments have low levels of corruption and high levels of impartiality</w:t>
      </w:r>
      <w:r w:rsidR="00F33465">
        <w:t>,</w:t>
      </w:r>
      <w:r w:rsidR="00667874" w:rsidRPr="00096A22">
        <w:t xml:space="preserve"> there are significantly more small</w:t>
      </w:r>
      <w:r w:rsidR="00F33465">
        <w:t>-</w:t>
      </w:r>
      <w:r w:rsidR="00667874" w:rsidRPr="00096A22">
        <w:t xml:space="preserve"> and medium</w:t>
      </w:r>
      <w:r w:rsidR="00F33465">
        <w:t>-</w:t>
      </w:r>
      <w:r w:rsidR="00667874" w:rsidRPr="00096A22">
        <w:t>term enterprises</w:t>
      </w:r>
      <w:r w:rsidR="00C31130">
        <w:t xml:space="preserve"> (SMEs)</w:t>
      </w:r>
      <w:r w:rsidR="00667874" w:rsidRPr="00096A22">
        <w:t xml:space="preserve">. The willingness to start SMEs is treated here as a proxy for long-termism. Variability in regions within single EU states has also been found </w:t>
      </w:r>
      <w:r w:rsidR="00667874" w:rsidRPr="00096A22">
        <w:fldChar w:fldCharType="begin"/>
      </w:r>
      <w:r w:rsidR="004A7123">
        <w:instrText xml:space="preserve"> ADDIN ZOTERO_ITEM CSL_CITATION {"citationID":"ag304ni2n","properties":{"formattedCitation":"(Charron et al. 2014)","plainCitation":"(Charron et al. 2014)","noteIndex":0},"citationItems":[{"id":"GGZNlT61/2VQ7bugD","uris":["http://zotero.org/users/4803578/items/6E3B3FYM"],"uri":["http://zotero.org/users/4803578/items/6E3B3FYM"],"itemData":{"id":67,"type":"article-journal","title":"Regional Governance Matters: Quality of Government within European Union Member States","container-title":"Regional Studies","page":"68-90","volume":"48","issue":"1","source":"www-tandfonline-com.ezp.sub.su.se (Atypon)","abstract":"Charron N., Dijkstra L. and Lapuente V. Regional governance matters: quality of government within European Union member states, Regional Studies. This study presents novel data (European QoG Index – EQI) on the ‘quality of government’ (QoG) – understood as low corruption, impartial public services and rule of law – for national and sub-national levels in twenty-seven European Union countries. The EQI shows notable within-country variations: while high-performing regions in Italy and Spain (for example, Bolzano, País Vasco) rank amongst the best European Union regions, others perform well below the European Union average. The index is highly correlated with sub-national levels of socio-economic development and levels of social trust, yet political decentralization is uncorrelated with greater within-country, or higher levels of overall, QoG.","DOI":"10.1080/00343404.2013.770141","ISSN":"0034-3404","shortTitle":"Regional Governance Matters","journalAbbreviation":"Regional Studies","author":[{"family":"Charron","given":"Nicholas"},{"family":"Dijkstra","given":"Lewis"},{"family":"Lapuente","given":"Victor"}],"issued":{"date-parts":[["2014",1,2]]}}}],"schema":"https://github.com/citation-style-language/schema/raw/master/csl-citation.json"} </w:instrText>
      </w:r>
      <w:r w:rsidR="00667874" w:rsidRPr="00096A22">
        <w:fldChar w:fldCharType="separate"/>
      </w:r>
      <w:r w:rsidR="004A7123" w:rsidRPr="007344DD">
        <w:rPr>
          <w:rFonts w:ascii="Calibri" w:hAnsi="Calibri" w:cs="Calibri"/>
        </w:rPr>
        <w:t>(Charron et al. 2014)</w:t>
      </w:r>
      <w:r w:rsidR="00667874" w:rsidRPr="00096A22">
        <w:fldChar w:fldCharType="end"/>
      </w:r>
      <w:r w:rsidR="00667874" w:rsidRPr="00096A22">
        <w:t>.</w:t>
      </w:r>
    </w:p>
    <w:p w14:paraId="150C41DC" w14:textId="3E1F1F75" w:rsidR="00667874" w:rsidRPr="00096A22" w:rsidRDefault="00667874" w:rsidP="00667874">
      <w:pPr>
        <w:rPr>
          <w:b/>
          <w:i/>
        </w:rPr>
      </w:pPr>
      <w:r w:rsidRPr="00096A22">
        <w:t>If the SDGs are moving both developed and developing states into a period that requires increasing public investment in, for example, low-carbon infrastructure, then ensuring that there are low levels of corruption and high levels of trust in public regulation and state expenditures are key factors for SDG achievement.</w:t>
      </w:r>
      <w:r w:rsidRPr="00096A22">
        <w:rPr>
          <w:b/>
        </w:rPr>
        <w:t xml:space="preserve"> </w:t>
      </w:r>
      <w:r w:rsidRPr="00096A22">
        <w:rPr>
          <w:b/>
          <w:i/>
        </w:rPr>
        <w:t>Thus, one important research area involves 1) assessing where achievement of SDGs requires longer-term investments from governments (i.e. investments where return</w:t>
      </w:r>
      <w:r w:rsidR="00F7170F">
        <w:rPr>
          <w:b/>
          <w:i/>
        </w:rPr>
        <w:t xml:space="preserve">s and </w:t>
      </w:r>
      <w:r w:rsidRPr="00096A22">
        <w:rPr>
          <w:b/>
          <w:i/>
        </w:rPr>
        <w:t xml:space="preserve">benefits arrive over the longer term), and </w:t>
      </w:r>
      <w:r w:rsidRPr="00096A22">
        <w:rPr>
          <w:b/>
          <w:i/>
        </w:rPr>
        <w:lastRenderedPageBreak/>
        <w:t>2) identifying the conditions for sustained public support for making these investments in SDG achievement.</w:t>
      </w:r>
    </w:p>
    <w:p w14:paraId="12475A4F" w14:textId="1595196C" w:rsidR="00667874" w:rsidRPr="00096A22" w:rsidRDefault="00667874" w:rsidP="00667874">
      <w:r w:rsidRPr="00096A22">
        <w:t>International development organisations, practitioners and researchers often argue that the financial demands for achieving the SDG targets will require new models for public</w:t>
      </w:r>
      <w:r w:rsidR="00211BD8">
        <w:t>-</w:t>
      </w:r>
      <w:r w:rsidRPr="00096A22">
        <w:t xml:space="preserve">private partnerships so as to significantly scale up private investment in the transition to sustainability </w:t>
      </w:r>
      <w:r w:rsidRPr="00096A22">
        <w:fldChar w:fldCharType="begin"/>
      </w:r>
      <w:r w:rsidR="004A7123">
        <w:instrText xml:space="preserve"> ADDIN ZOTERO_ITEM CSL_CITATION {"citationID":"39joZN1d","properties":{"formattedCitation":"(Bielenberg et al. 2016; Business and Sustainable Development Commission 2017)","plainCitation":"(Bielenberg et al. 2016; Business and Sustainable Development Commission 2017)","noteIndex":0},"citationItems":[{"id":"GGZNlT61/iECsDdbI","uris":["http://zotero.org/users/4803578/items/XANCPSFV"],"uri":["http://zotero.org/users/4803578/items/XANCPSFV"],"itemData":{"id":105,"type":"report","title":"Financing Change: How to Mobilize Private-Sector Financing for Sustainable Infrastructure, McKinsey Center for Business and Environment, McKinsey &amp; Company, January 2016.","publisher":"McKinsey Center for Business and Environment","URL":"http://newclimateeconomy.report/2015/wp-content/uploads/sites/3/2016/01/Financing_change_How_to_mobilize_private-sector_financing_for_sustainable-_infrastructure.pdf","author":[{"family":"Bielenberg","given":"Aaron"},{"family":"Kerlin","given":"Mike"},{"family":"Oppenheim","given":"Jeremy"},{"family":"Roberts","given":"Melissa"}],"issued":{"date-parts":[["2016",1]]}}},{"id":"GGZNlT61/FoyfPO3h","uris":["http://zotero.org/users/4803578/items/T3JAQRQ3"],"uri":["http://zotero.org/users/4803578/items/T3JAQRQ3"],"itemData":{"id":106,"type":"report","title":"Better Business Better World","URL":"http://report.businesscommission.org/uploads/BetterBiz-BetterWorld_170215_012417.pdf","author":[{"family":"Business and Sustainable Development Commission","given":""}],"issued":{"date-parts":[["2017",1]]},"accessed":{"date-parts":[["2018",3,14]]}}}],"schema":"https://github.com/citation-style-language/schema/raw/master/csl-citation.json"} </w:instrText>
      </w:r>
      <w:r w:rsidRPr="00096A22">
        <w:fldChar w:fldCharType="separate"/>
      </w:r>
      <w:r w:rsidR="004A7123" w:rsidRPr="007344DD">
        <w:rPr>
          <w:rFonts w:ascii="Calibri" w:hAnsi="Calibri" w:cs="Calibri"/>
        </w:rPr>
        <w:t>(Bielenberg et al. 2016; Business and Sustainable Development Commission 2017)</w:t>
      </w:r>
      <w:r w:rsidRPr="00096A22">
        <w:fldChar w:fldCharType="end"/>
      </w:r>
      <w:r w:rsidRPr="00096A22">
        <w:t>.</w:t>
      </w:r>
      <w:r w:rsidR="004A7123">
        <w:t xml:space="preserve"> </w:t>
      </w:r>
      <w:r w:rsidRPr="00096A22">
        <w:t>This appear</w:t>
      </w:r>
      <w:r w:rsidR="00211BD8">
        <w:t>s</w:t>
      </w:r>
      <w:r w:rsidRPr="00096A22">
        <w:t xml:space="preserve"> especially important with respect to infrastructure investment, wh</w:t>
      </w:r>
      <w:r w:rsidR="00C45559">
        <w:t xml:space="preserve">ich is </w:t>
      </w:r>
      <w:r w:rsidRPr="00096A22">
        <w:t>capital intensive</w:t>
      </w:r>
      <w:r w:rsidR="00C45559">
        <w:t xml:space="preserve">, has </w:t>
      </w:r>
      <w:r w:rsidRPr="00096A22">
        <w:t xml:space="preserve">longer-term pay-off horizons and </w:t>
      </w:r>
      <w:r w:rsidR="00C45559">
        <w:t xml:space="preserve">focuses on </w:t>
      </w:r>
      <w:r w:rsidRPr="00096A22">
        <w:t>public</w:t>
      </w:r>
      <w:r w:rsidR="00C45559">
        <w:t>-</w:t>
      </w:r>
      <w:r w:rsidRPr="00096A22">
        <w:t xml:space="preserve">oriented goods. When public resources are used to reduce risks for private investors and/or to create better upside incentives, </w:t>
      </w:r>
      <w:r w:rsidRPr="00096A22">
        <w:rPr>
          <w:b/>
          <w:i/>
        </w:rPr>
        <w:t>this raises questions about how public</w:t>
      </w:r>
      <w:r w:rsidR="00C45559">
        <w:rPr>
          <w:b/>
          <w:i/>
        </w:rPr>
        <w:t>-</w:t>
      </w:r>
      <w:r w:rsidRPr="00096A22">
        <w:rPr>
          <w:b/>
          <w:i/>
        </w:rPr>
        <w:t>private financing models should be designed to maximi</w:t>
      </w:r>
      <w:r w:rsidR="00FB01AA">
        <w:rPr>
          <w:b/>
          <w:i/>
        </w:rPr>
        <w:t>s</w:t>
      </w:r>
      <w:r w:rsidRPr="00096A22">
        <w:rPr>
          <w:b/>
          <w:i/>
        </w:rPr>
        <w:t>e trust between partners and support from the public</w:t>
      </w:r>
      <w:r w:rsidRPr="00096A22">
        <w:t>. In addition to this empirical question</w:t>
      </w:r>
      <w:r w:rsidRPr="00096A22">
        <w:rPr>
          <w:b/>
          <w:i/>
        </w:rPr>
        <w:t>, there exists very little work on what a fair distribution of financial risk is between public and private actors in the transition to sustainability. Thus, more work on both the normative and governance dimensions of these challenges</w:t>
      </w:r>
      <w:r w:rsidR="00C45559">
        <w:rPr>
          <w:b/>
          <w:i/>
        </w:rPr>
        <w:t xml:space="preserve"> –</w:t>
      </w:r>
      <w:r w:rsidRPr="00096A22">
        <w:rPr>
          <w:b/>
          <w:i/>
        </w:rPr>
        <w:t xml:space="preserve"> in</w:t>
      </w:r>
      <w:r w:rsidR="00C45559">
        <w:rPr>
          <w:b/>
          <w:i/>
        </w:rPr>
        <w:t xml:space="preserve"> </w:t>
      </w:r>
      <w:r w:rsidRPr="00096A22">
        <w:rPr>
          <w:b/>
          <w:i/>
        </w:rPr>
        <w:t>addition to work on the best financial structures for different sectors in different regions</w:t>
      </w:r>
      <w:r w:rsidR="00C45559">
        <w:rPr>
          <w:b/>
          <w:i/>
        </w:rPr>
        <w:t xml:space="preserve"> –</w:t>
      </w:r>
      <w:r w:rsidRPr="00096A22">
        <w:rPr>
          <w:b/>
          <w:i/>
        </w:rPr>
        <w:t xml:space="preserve"> will</w:t>
      </w:r>
      <w:r w:rsidR="00C45559">
        <w:rPr>
          <w:b/>
          <w:i/>
        </w:rPr>
        <w:t xml:space="preserve"> </w:t>
      </w:r>
      <w:r w:rsidRPr="00096A22">
        <w:rPr>
          <w:b/>
          <w:i/>
        </w:rPr>
        <w:t>contribute to the development of robust social contracts for SDG implementation.</w:t>
      </w:r>
    </w:p>
    <w:p w14:paraId="566043D1" w14:textId="49F38B00" w:rsidR="00667874" w:rsidRPr="00096A22" w:rsidRDefault="00667874" w:rsidP="00667874">
      <w:r w:rsidRPr="00096A22">
        <w:t xml:space="preserve">The body of literature on the conditions under which </w:t>
      </w:r>
      <w:r w:rsidR="0044542F">
        <w:t xml:space="preserve">the </w:t>
      </w:r>
      <w:r w:rsidRPr="00096A22">
        <w:t>public will support environmental regulations and public investment in environmental management is of course highly relevant in both developed and developing regions.</w:t>
      </w:r>
      <w:r w:rsidR="004A7123">
        <w:t xml:space="preserve"> </w:t>
      </w:r>
      <w:r w:rsidRPr="00096A22">
        <w:t xml:space="preserve">Ideology, norms, policy type, knowledge and information, </w:t>
      </w:r>
      <w:r w:rsidR="00653FE7">
        <w:t>q</w:t>
      </w:r>
      <w:r w:rsidR="00987C1A">
        <w:t>uality of government</w:t>
      </w:r>
      <w:r w:rsidRPr="00096A22">
        <w:t xml:space="preserve">, and political and interpersonal trust are among the relevant variables assessed in the literature </w:t>
      </w:r>
      <w:r w:rsidRPr="00096A22">
        <w:fldChar w:fldCharType="begin"/>
      </w:r>
      <w:r w:rsidR="004A7123">
        <w:instrText xml:space="preserve"> ADDIN ZOTERO_ITEM CSL_CITATION {"citationID":"DSh3qCGs","properties":{"formattedCitation":"(Drews and van den Bergh 2016; Harring and Jagers 2013)","plainCitation":"(Drews and van den Bergh 2016; Harring and Jagers 2013)","noteIndex":0},"citationItems":[{"id":"GGZNlT61/g6y9cDrd","uris":["http://zotero.org/users/4803578/items/PXCRAQPZ"],"uri":["http://zotero.org/users/4803578/items/PXCRAQPZ"],"itemData":{"id":74,"type":"article-journal","title":"What explains public support for climate policies? A review of empirical and experimental studies","container-title":"Climate Policy","page":"855-876","volume":"16","issue":"7","source":"www-tandfonline-com.ezp.sub.su.se (Atypon)","abstract":"The lack of broad public support prevents the implementation of effective climate policies. This article aims to examine why citizens support or reject climate policies. For this purpose, we provide a cross-disciplinary overview of empirical and experimental research on public attitudes and preferences that has emerged in the last few years. The various factors influencing policy support are divided into three general categories: (1) social-psychological factors and climate change perception, such as the positive influences of left-wing political orientation, egalitarian worldviews, environmental and self-transcendent values, climate change knowledge, risk perception, or emotions like interest and hope; (2) the perception of climate policy and its design, which includes, among others, the preference of pull over push measures, the positive role of perceived policy effectiveness, the level of policy costs, as well as the positive effect of perceived policy fairness and the recycling of potential policy revenues; (3) contextual factors, such as the positive influence of social trust, norms and participation, wider economic, political and geographical aspects, or the different effects of specific media events and communications. Finally, we discuss the findings and provide suggestions for future research.Policy relevancePublic opinion is a significant determinant of policy change in democratic countries. Policy makers may be reluctant to implement climate policies if they expect public opposition. This article seeks to provide a better understanding of the various factors influencing public responses to climate policy proposals. Most of the studied factors include perceptions about climate change, policy and its attributes, all of which are amenable to intervention. The acquired insights can thus assist in improving policy design and communication with the overarching objective to garner more public support for effective climate policy.","DOI":"10.1080/14693062.2015.1058240","ISSN":"1469-3062","shortTitle":"What explains public support for climate policies?","journalAbbreviation":"Climate Policy","author":[{"family":"Drews","given":"Stefan"},{"family":"Bergh","given":"Jeroen C.J.M.","non-dropping-particle":"van den"}],"issued":{"date-parts":[["2016",10,2]]}}},{"id":"GGZNlT61/L1l3ZpzE","uris":["http://zotero.org/users/4803578/items/B3WJQ8HQ"],"uri":["http://zotero.org/users/4803578/items/B3WJQ8HQ"],"itemData":{"id":73,"type":"article-journal","title":"Should We Trust in Values? Explaining Public Support for Pro-Environmental Taxes","container-title":"Sustainability","page":"210-227","volume":"5","issue":"1","source":"www.mdpi.com","abstract":"In this paper we are concerned with what explains public acceptance and support of environmental taxes. We examine findings in environmental psychology emphasizing that people’s (environmental) value-orientation is the dominant driver determining individuals’ support for pro-environmental policy instruments. We introduce a complementary model, mainly drawing upon findings in political science, suggesting that people’s support for policy instruments is dependent on their level of political trust and their trust in other citizens. More specifically, we analyze whether political trust and inter-personal trust affect individuals’ support for an increased carbon dioxide tax in Sweden, while checking their value orientation, self-interest, and various socio-economic values. We make use of survey data obtained from a mail questionnaire sent out to a random sample of 3,000 individuals in 2009. We find that apart from people’s values, beliefs, and norms, both political trust and interpersonal trust have significant effects on people's attitudes toward an increased tax on carbon dioxide.","DOI":"10.3390/su5010210","shortTitle":"Should We Trust in Values?","language":"en","author":[{"family":"Harring","given":"Niklas"},{"family":"Jagers","given":"Sverker C."}],"issued":{"date-parts":[["2013",1,16]]}}}],"schema":"https://github.com/citation-style-language/schema/raw/master/csl-citation.json"} </w:instrText>
      </w:r>
      <w:r w:rsidRPr="00096A22">
        <w:fldChar w:fldCharType="separate"/>
      </w:r>
      <w:r w:rsidR="004A7123" w:rsidRPr="007344DD">
        <w:rPr>
          <w:rFonts w:ascii="Calibri" w:hAnsi="Calibri" w:cs="Calibri"/>
        </w:rPr>
        <w:t>(Drews and van den Bergh 2016; Harring and Jagers 2013)</w:t>
      </w:r>
      <w:r w:rsidRPr="00096A22">
        <w:fldChar w:fldCharType="end"/>
      </w:r>
      <w:r w:rsidRPr="00096A22">
        <w:t>. Re</w:t>
      </w:r>
      <w:r w:rsidR="0044542F">
        <w:t>c</w:t>
      </w:r>
      <w:r w:rsidRPr="00096A22">
        <w:t xml:space="preserve">ent research highlights that variations in types of trust (e.g. variation depending on actors) and variations in types of government interventions to achieve sustainability objectives can combine in ways that have different prospects for garnering public support </w:t>
      </w:r>
      <w:r w:rsidRPr="00096A22">
        <w:fldChar w:fldCharType="begin"/>
      </w:r>
      <w:r w:rsidR="004A7123">
        <w:instrText xml:space="preserve"> ADDIN ZOTERO_ITEM CSL_CITATION {"citationID":"av1pj70k7o","properties":{"formattedCitation":"(Harring 2018)","plainCitation":"(Harring 2018)","noteIndex":0},"citationItems":[{"id":"GGZNlT61/mpLM7elr","uris":["http://zotero.org/users/4803578/items/3ZW865DI"],"uri":["http://zotero.org/users/4803578/items/3ZW865DI"],"itemData":{"id":72,"type":"article-journal","title":"Trust and state intervention: Results from a Swedish survey on environmental policy support","container-title":"Environmental Science &amp; Policy","page":"1-8","volume":"82","source":"ScienceDirect","abstract":"The role of trust in supporting environmental policy instruments (EPIs) has attracted increased interest in recent years. Various trust measures have often been conflated, making it unclear whether trust or distrust drives demand for EPIs. Here we investigate how trust in various actors (i.e., citizens in general, business actors, and political institutions) affects attitudes to different kinds of state intervention (i.e., push vs. pull instruments). We hypothesize that distrust, through a willingness to punish, generates demand for push policies, while trust, through a willingness to reward, generates demand for pull policies. Using survey responses from approximately 1800 Swedish college students, different trust measures were found to have different links to attitudes to state intervention: trust in public administration is a stable predictor of EPI support, whereas distrust in business actors generates stronger support for punishing instruments. We also found that preferences for push policies are associated with a willingness to punish, whereas preferences for pull policies are associated with a willingness to reward. We conclude that different trust measures should not be conflated when discussing whether trust explains attitudes to state environmental intervention.","DOI":"10.1016/j.envsci.2018.01.002","ISSN":"1462-9011","shortTitle":"Trust and state intervention","journalAbbreviation":"Environmental Science &amp; Policy","author":[{"family":"Harring","given":"Niklas"}],"issued":{"date-parts":[["2018",4,1]]}}}],"schema":"https://github.com/citation-style-language/schema/raw/master/csl-citation.json"} </w:instrText>
      </w:r>
      <w:r w:rsidRPr="00096A22">
        <w:fldChar w:fldCharType="separate"/>
      </w:r>
      <w:r w:rsidR="004A7123" w:rsidRPr="007344DD">
        <w:rPr>
          <w:rFonts w:ascii="Calibri" w:hAnsi="Calibri" w:cs="Calibri"/>
        </w:rPr>
        <w:t>(Harring 2018)</w:t>
      </w:r>
      <w:r w:rsidRPr="00096A22">
        <w:fldChar w:fldCharType="end"/>
      </w:r>
      <w:r w:rsidRPr="00096A22">
        <w:t>.</w:t>
      </w:r>
      <w:r w:rsidR="004A7123">
        <w:t xml:space="preserve"> </w:t>
      </w:r>
      <w:r w:rsidRPr="00096A22">
        <w:rPr>
          <w:b/>
          <w:i/>
        </w:rPr>
        <w:t>Investigating these more nuanced relationships across a fuller range of relevant causal variables and different SDG objectives also looks like a fruitful area of research.</w:t>
      </w:r>
      <w:r w:rsidR="004A7123">
        <w:t xml:space="preserve"> </w:t>
      </w:r>
      <w:r w:rsidRPr="00096A22">
        <w:rPr>
          <w:b/>
          <w:i/>
        </w:rPr>
        <w:t>In other words, how do key determinants of public support interact with the very different economic, social, and environmental sustainable development objectives encompassed within the SDGs</w:t>
      </w:r>
      <w:r w:rsidRPr="00096A22">
        <w:t xml:space="preserve">? Comparative analysis of public support for taxes and welfare state policies appears to have received the most attention overall in the </w:t>
      </w:r>
      <w:r w:rsidR="00987C1A">
        <w:t>Quality of government</w:t>
      </w:r>
      <w:r w:rsidRPr="00096A22">
        <w:t xml:space="preserve"> literature </w:t>
      </w:r>
      <w:r w:rsidRPr="00096A22">
        <w:fldChar w:fldCharType="begin"/>
      </w:r>
      <w:r w:rsidR="004A7123">
        <w:instrText xml:space="preserve"> ADDIN ZOTERO_ITEM CSL_CITATION {"citationID":"apvt84bomo","properties":{"formattedCitation":"(Svallfors 2013)","plainCitation":"(Svallfors 2013)","noteIndex":0},"citationItems":[{"id":"GGZNlT61/v0zo6Cfw","uris":["http://zotero.org/users/4803578/items/K6ZZVTY4"],"uri":["http://zotero.org/users/4803578/items/K6ZZVTY4"],"itemData":{"id":76,"type":"article-journal","title":"Government quality, egalitarianism, and attitudes to taxes and social spending: a European comparison","container-title":"European Political Science Review","page":"363-380","volume":"5","issue":"3","source":"Cambridge Core","abstract":"The paper analyses how perceptions of government quality – in terms of impartiality and efficiency – impact on attitudes to taxes and social spending. It builds on data from the European Social Survey 2008 from 29 European countries. The paper shows a large degree of congruence between expert-based judgments and the general public's perceptions of the quality of government. It also shows that the quality of government has a clear, independent effect on attitudes to taxes and spending, so that people who perceive institutions as efficient and fair want higher taxes and spending. But government quality also conditions the impact of egalitarianism on attitudes to taxes and spending: in high-quality-of-government egalitarianism has a clearly stronger impact on these attitudes. It is concluded that government quality is an important and so far neglected factor in explaining attitudes to welfare policies.","DOI":"10.1017/S175577391200015X","ISSN":"1755-7739, 1755-7747","shortTitle":"Government quality, egalitarianism, and attitudes to taxes and social spending","language":"en","author":[{"family":"Svallfors","given":"Stefan"}],"issued":{"date-parts":[["2013",11]]}}}],"schema":"https://github.com/citation-style-language/schema/raw/master/csl-citation.json"} </w:instrText>
      </w:r>
      <w:r w:rsidRPr="00096A22">
        <w:fldChar w:fldCharType="separate"/>
      </w:r>
      <w:r w:rsidR="004A7123" w:rsidRPr="007344DD">
        <w:rPr>
          <w:rFonts w:ascii="Calibri" w:hAnsi="Calibri" w:cs="Calibri"/>
        </w:rPr>
        <w:t>(Svallfors 2013)</w:t>
      </w:r>
      <w:r w:rsidRPr="00096A22">
        <w:fldChar w:fldCharType="end"/>
      </w:r>
      <w:r w:rsidRPr="00096A22">
        <w:t xml:space="preserve">. </w:t>
      </w:r>
      <w:r w:rsidRPr="00096A22">
        <w:rPr>
          <w:b/>
          <w:i/>
        </w:rPr>
        <w:t>This research can be extended</w:t>
      </w:r>
      <w:r w:rsidR="0044542F">
        <w:rPr>
          <w:b/>
          <w:i/>
        </w:rPr>
        <w:t>,</w:t>
      </w:r>
      <w:r w:rsidRPr="00096A22">
        <w:rPr>
          <w:b/>
          <w:i/>
        </w:rPr>
        <w:t xml:space="preserve"> paying special attention to any new obstacles that</w:t>
      </w:r>
      <w:r w:rsidR="0044542F">
        <w:rPr>
          <w:b/>
          <w:i/>
        </w:rPr>
        <w:t xml:space="preserve"> arise because of</w:t>
      </w:r>
      <w:r w:rsidRPr="00096A22">
        <w:rPr>
          <w:b/>
          <w:i/>
        </w:rPr>
        <w:t xml:space="preserve"> Agenda 2030</w:t>
      </w:r>
      <w:r w:rsidR="0044542F">
        <w:rPr>
          <w:b/>
          <w:i/>
        </w:rPr>
        <w:t>.</w:t>
      </w:r>
    </w:p>
    <w:p w14:paraId="46168ED4" w14:textId="5EB0A7A2" w:rsidR="00667874" w:rsidRPr="00096A22" w:rsidRDefault="00667874" w:rsidP="00667874">
      <w:r w:rsidRPr="00096A22">
        <w:t xml:space="preserve">Another key area of research that speaks directly to the global partnership for implementing the SDGs </w:t>
      </w:r>
      <w:r w:rsidR="005F4CD7">
        <w:t>is the attempt</w:t>
      </w:r>
      <w:r w:rsidRPr="00096A22">
        <w:t xml:space="preserve"> to explain variations </w:t>
      </w:r>
      <w:r w:rsidR="005F4CD7">
        <w:t>of</w:t>
      </w:r>
      <w:r w:rsidR="005F4CD7" w:rsidRPr="00096A22">
        <w:t xml:space="preserve"> </w:t>
      </w:r>
      <w:r w:rsidRPr="00096A22">
        <w:t>support for development aid among donor country publics. Researche</w:t>
      </w:r>
      <w:r w:rsidR="00EC4969">
        <w:t>r</w:t>
      </w:r>
      <w:r w:rsidRPr="00096A22">
        <w:t xml:space="preserve">s tend to focus on issues such as ideology, material wealth, perceptions about and knowledge of global development issues, and trust in people and institutions as relevant explanatory factors </w:t>
      </w:r>
      <w:r w:rsidRPr="00096A22">
        <w:fldChar w:fldCharType="begin"/>
      </w:r>
      <w:r w:rsidR="004A7123">
        <w:instrText xml:space="preserve"> ADDIN ZOTERO_ITEM CSL_CITATION {"citationID":"9K6jkEiR","properties":{"formattedCitation":"(Milner and Tingley 2013; Paxton and Knack 2012)","plainCitation":"(Milner and Tingley 2013; Paxton and Knack 2012)","noteIndex":0},"citationItems":[{"id":"GGZNlT61/7udNVtSX","uris":["http://zotero.org/users/4803578/items/B9ZWQAMX"],"uri":["http://zotero.org/users/4803578/items/B9ZWQAMX"],"itemData":{"id":71,"type":"article-journal","title":"Public Opinion and Foreign Aid: A Review Essay","container-title":"International Interactions","page":"389-401","volume":"39","issue":"3","source":"Taylor and Francis+NEJM","DOI":"10.1080/03050629.2013.784090","ISSN":"0305-0629","shortTitle":"Public Opinion and Foreign Aid","author":[{"family":"Milner","given":"Helen V."},{"family":"Tingley","given":"Dustin"}],"issued":{"date-parts":[["2013",7,1]]}}},{"id":"GGZNlT61/C4bHgGSU","uris":["http://zotero.org/users/4803578/items/MJZ87ZEV"],"uri":["http://zotero.org/users/4803578/items/MJZ87ZEV"],"itemData":{"id":70,"type":"article-journal","title":"Individual and country-level factors affecting support for foreign aid","container-title":"International Political Science Review","page":"171-192","volume":"33","issue":"2","source":"SAGE Journals","abstract":"The determinants of public opinion on foreign aid in donor countries have received little attention. This paper examines support for foreign aid with a large, multi-level, cross-national study. Hypotheses are tested with multi-level models, including both individual-level and country-level variables, to predict positive attitudes. Two datasets are used to measure attitudes in donor countries: (1) the 1995 World Values Survey, which has information from approximately 6,000 individuals in nine countries and asks a rich battery of questions at the individual level; (2) the 2002 Gallup Voice of the People survey, asks fewer questions of individuals but contains 17 donor countries. Using both surveys combines their distinct strengths and allows tests of individual- and national-level theories across disparate samples. Results generally support the predictions that attitudes toward aid are influenced by religiosity, beliefs about the causes of poverty, awareness of international affairs, and trust in people and institutions.","DOI":"10.1177/0192512111406095","ISSN":"0192-5121","journalAbbreviation":"International Political Science Review","language":"en","author":[{"family":"Paxton","given":"Pamela"},{"family":"Knack","given":"Stephen"}],"issued":{"date-parts":[["2012",3,1]]}}}],"schema":"https://github.com/citation-style-language/schema/raw/master/csl-citation.json"} </w:instrText>
      </w:r>
      <w:r w:rsidRPr="00096A22">
        <w:fldChar w:fldCharType="separate"/>
      </w:r>
      <w:r w:rsidR="004A7123" w:rsidRPr="007344DD">
        <w:rPr>
          <w:rFonts w:ascii="Calibri" w:hAnsi="Calibri" w:cs="Calibri"/>
        </w:rPr>
        <w:t>(Milner and Tingley 2013; Paxton and Knack 2012)</w:t>
      </w:r>
      <w:r w:rsidRPr="00096A22">
        <w:fldChar w:fldCharType="end"/>
      </w:r>
      <w:r w:rsidRPr="00096A22">
        <w:t xml:space="preserve">. </w:t>
      </w:r>
      <w:r w:rsidR="00BD2319">
        <w:t>But</w:t>
      </w:r>
      <w:r w:rsidRPr="00096A22">
        <w:t xml:space="preserve"> a recent study </w:t>
      </w:r>
      <w:r w:rsidRPr="00096A22">
        <w:fldChar w:fldCharType="begin"/>
      </w:r>
      <w:r w:rsidR="004A7123">
        <w:instrText xml:space="preserve"> ADDIN ZOTERO_ITEM CSL_CITATION {"citationID":"a2ots9frg5p","properties":{"formattedCitation":"(Bayram 2017)","plainCitation":"(Bayram 2017)","noteIndex":0},"citationItems":[{"id":"GGZNlT61/vqqkpxN8","uris":["http://zotero.org/users/4803578/items/N83U46YT"],"uri":["http://zotero.org/users/4803578/items/N83U46YT"],"itemData":{"id":68,"type":"article-journal","title":"Aiding Strangers: Generalized Trust and the Moral Basis of Public Support for Foreign Development Aid","container-title":"Foreign Policy Analysis","page":"133-153","volume":"13","issue":"1","source":"academic.oup.com","abstract":"Why do publics in donor countries support development foreign aid? Focusing on material factors, ideology, and identities, the literature has largely neglected the moral basis of foreign aid attitudes. I argue that generalized trust, defined as the belief in the integrity and trustworthiness of people, is a crucial component of the moral calculus of publics in donor countries. Using data from independently conducted surveys of global (World Values Survey) and American mass publics (Core Values Project Survey), I show that generalized trusters are more likely to aid the have-nots of the world than those who lack trust in people. This finding indicates that the bonds of trust expand the boundaries of global justice. By illuminating the role generalized trust plays in shaping donor public attitudes towards development foreign aid, this study helps improve the political economy, ideology, and identity models of aid, contributing to the literatures on foreign aid and foreign policy attitudes, and to theories of cosmopolitan global justice.","DOI":"10.1093/fpa/orw008","ISSN":"1743-8586","shortTitle":"Aiding Strangers","journalAbbreviation":"Foreign Policy Anal","language":"en","author":[{"family":"Bayram","given":"A. Burcu"}],"issued":{"date-parts":[["2017",1,1]]}}}],"schema":"https://github.com/citation-style-language/schema/raw/master/csl-citation.json"} </w:instrText>
      </w:r>
      <w:r w:rsidRPr="00096A22">
        <w:fldChar w:fldCharType="separate"/>
      </w:r>
      <w:r w:rsidR="004A7123" w:rsidRPr="007344DD">
        <w:rPr>
          <w:rFonts w:ascii="Calibri" w:hAnsi="Calibri" w:cs="Calibri"/>
        </w:rPr>
        <w:t>(Bayram 2017)</w:t>
      </w:r>
      <w:r w:rsidRPr="00096A22">
        <w:fldChar w:fldCharType="end"/>
      </w:r>
      <w:r w:rsidRPr="00096A22">
        <w:t xml:space="preserve"> finds that the existing literature has failed to capture how domestic perceptions of trust affect public support for development aid, and finds that countries with higher comparative levels of</w:t>
      </w:r>
      <w:r w:rsidR="004A7123">
        <w:t xml:space="preserve"> </w:t>
      </w:r>
      <w:r w:rsidRPr="00096A22">
        <w:t xml:space="preserve">“generalised trusters” are more likely to support foreign aid. </w:t>
      </w:r>
      <w:r w:rsidRPr="00096A22">
        <w:rPr>
          <w:b/>
          <w:i/>
        </w:rPr>
        <w:t>A worthwhile area of research is assessing how local conditions</w:t>
      </w:r>
      <w:r w:rsidR="00BD2319">
        <w:rPr>
          <w:b/>
          <w:i/>
        </w:rPr>
        <w:t xml:space="preserve"> –</w:t>
      </w:r>
      <w:r w:rsidRPr="00096A22">
        <w:rPr>
          <w:b/>
          <w:i/>
        </w:rPr>
        <w:t xml:space="preserve"> with</w:t>
      </w:r>
      <w:r w:rsidR="00BD2319">
        <w:rPr>
          <w:b/>
          <w:i/>
        </w:rPr>
        <w:t xml:space="preserve"> </w:t>
      </w:r>
      <w:r w:rsidRPr="00096A22">
        <w:rPr>
          <w:b/>
          <w:i/>
        </w:rPr>
        <w:t>respect to information, culture</w:t>
      </w:r>
      <w:r w:rsidR="00BD2319">
        <w:rPr>
          <w:b/>
          <w:i/>
        </w:rPr>
        <w:t xml:space="preserve"> and</w:t>
      </w:r>
      <w:r w:rsidRPr="00096A22">
        <w:rPr>
          <w:b/>
          <w:i/>
        </w:rPr>
        <w:t xml:space="preserve"> trust</w:t>
      </w:r>
      <w:r w:rsidR="00BD2319">
        <w:rPr>
          <w:b/>
          <w:i/>
        </w:rPr>
        <w:t xml:space="preserve"> –</w:t>
      </w:r>
      <w:r w:rsidRPr="00096A22">
        <w:rPr>
          <w:b/>
          <w:i/>
        </w:rPr>
        <w:t xml:space="preserve"> and</w:t>
      </w:r>
      <w:r w:rsidR="00BD2319">
        <w:rPr>
          <w:b/>
          <w:i/>
        </w:rPr>
        <w:t xml:space="preserve"> </w:t>
      </w:r>
      <w:r w:rsidRPr="00096A22">
        <w:rPr>
          <w:b/>
          <w:i/>
        </w:rPr>
        <w:t>local public administration capacity impact the global partnership for reali</w:t>
      </w:r>
      <w:r w:rsidR="00BD2319">
        <w:rPr>
          <w:b/>
          <w:i/>
        </w:rPr>
        <w:t>s</w:t>
      </w:r>
      <w:r w:rsidRPr="00096A22">
        <w:rPr>
          <w:b/>
          <w:i/>
        </w:rPr>
        <w:t xml:space="preserve">ing Agenda 2030. Also, how do perceptions of the </w:t>
      </w:r>
      <w:r w:rsidR="00987C1A">
        <w:rPr>
          <w:b/>
          <w:i/>
        </w:rPr>
        <w:t>Quality of government</w:t>
      </w:r>
      <w:r w:rsidRPr="00096A22">
        <w:rPr>
          <w:b/>
          <w:i/>
        </w:rPr>
        <w:t xml:space="preserve"> in receiving countries affect support for foreign aid in donor countries </w:t>
      </w:r>
      <w:r w:rsidRPr="00096A22">
        <w:rPr>
          <w:b/>
          <w:i/>
        </w:rPr>
        <w:fldChar w:fldCharType="begin"/>
      </w:r>
      <w:r w:rsidR="004A7123">
        <w:rPr>
          <w:b/>
          <w:i/>
        </w:rPr>
        <w:instrText xml:space="preserve"> ADDIN ZOTERO_ITEM CSL_CITATION {"citationID":"adsneca563","properties":{"formattedCitation":"(Heinrich and Kobayashi 2017)","plainCitation":"(Heinrich and Kobayashi 2017)","noteIndex":0},"citationItems":[{"id":"GGZNlT61/NdNSw4yo","uris":["http://zotero.org/users/4803578/items/3B5M7WRB"],"uri":["http://zotero.org/users/4803578/items/3B5M7WRB"],"itemData":{"id":69,"type":"article-journal","title":"How do people evaluate foreign aid to'nasty'regimes?","container-title":"British Journal of Political Science","source":"Google Scholar","author":[{"family":"Heinrich","given":"Tobias"},{"family":"Kobayashi","given":"Yoshiharu"}],"issued":{"date-parts":[["2017"]]}}}],"schema":"https://github.com/citation-style-language/schema/raw/master/csl-citation.json"} </w:instrText>
      </w:r>
      <w:r w:rsidRPr="00096A22">
        <w:rPr>
          <w:b/>
          <w:i/>
        </w:rPr>
        <w:fldChar w:fldCharType="separate"/>
      </w:r>
      <w:r w:rsidR="004A7123" w:rsidRPr="007344DD">
        <w:rPr>
          <w:rFonts w:ascii="Calibri" w:hAnsi="Calibri" w:cs="Calibri"/>
        </w:rPr>
        <w:t>(Heinrich and Kobayashi 2017)</w:t>
      </w:r>
      <w:r w:rsidRPr="00096A22">
        <w:rPr>
          <w:b/>
          <w:i/>
        </w:rPr>
        <w:fldChar w:fldCharType="end"/>
      </w:r>
      <w:r w:rsidRPr="00096A22">
        <w:rPr>
          <w:b/>
          <w:i/>
        </w:rPr>
        <w:t>?</w:t>
      </w:r>
      <w:r w:rsidRPr="00096A22">
        <w:t xml:space="preserve"> </w:t>
      </w:r>
      <w:r w:rsidRPr="00096A22">
        <w:rPr>
          <w:b/>
          <w:i/>
        </w:rPr>
        <w:t xml:space="preserve">Are there significant feedback loops between levels of domestic </w:t>
      </w:r>
      <w:r w:rsidRPr="00096A22">
        <w:rPr>
          <w:b/>
          <w:i/>
        </w:rPr>
        <w:lastRenderedPageBreak/>
        <w:t>institutional capacity and investment in international support for SDG achievement that can either be exploited or need to be mitigated?</w:t>
      </w:r>
    </w:p>
    <w:p w14:paraId="6A72360D" w14:textId="3A1BDECC" w:rsidR="00667874" w:rsidRPr="00096A22" w:rsidRDefault="00667874" w:rsidP="00667874">
      <w:pPr>
        <w:pStyle w:val="Heading2"/>
      </w:pPr>
      <w:bookmarkStart w:id="29" w:name="_Toc500764754"/>
      <w:bookmarkStart w:id="30" w:name="_Toc508746769"/>
      <w:bookmarkStart w:id="31" w:name="_Toc529789838"/>
      <w:r w:rsidRPr="00096A22">
        <w:t>Revenue</w:t>
      </w:r>
      <w:r w:rsidR="00401DA3">
        <w:t xml:space="preserve"> </w:t>
      </w:r>
      <w:r w:rsidRPr="00096A22">
        <w:t>collection capacity</w:t>
      </w:r>
      <w:bookmarkEnd w:id="29"/>
      <w:bookmarkEnd w:id="30"/>
      <w:bookmarkEnd w:id="31"/>
    </w:p>
    <w:p w14:paraId="3A908529" w14:textId="501A9577" w:rsidR="00667874" w:rsidRPr="00096A22" w:rsidRDefault="00667874" w:rsidP="00667874">
      <w:r w:rsidRPr="00096A22">
        <w:t>SDG 17.1 calls for “strengthening domestic resource mobilization, including through international support to developing countries, to improve domestic capacity for tax and other revenue collection”. This is not surprising given that</w:t>
      </w:r>
      <w:r w:rsidR="00231114">
        <w:t xml:space="preserve"> the</w:t>
      </w:r>
      <w:r w:rsidRPr="00096A22">
        <w:t xml:space="preserve"> UN Sustainable Development Solutions Network estimates that to meet the SDG goals</w:t>
      </w:r>
      <w:r w:rsidR="00231114">
        <w:t>,</w:t>
      </w:r>
      <w:r w:rsidRPr="00096A22">
        <w:t xml:space="preserve"> low-income countries will have to increase their government spending on SDGs by 12.5% annually (i.e. compound growth) through to 2030</w:t>
      </w:r>
      <w:r w:rsidR="00231114">
        <w:t>; together,</w:t>
      </w:r>
      <w:r w:rsidRPr="00096A22">
        <w:t xml:space="preserve"> low</w:t>
      </w:r>
      <w:r w:rsidR="00231114">
        <w:t>-</w:t>
      </w:r>
      <w:r w:rsidRPr="00096A22">
        <w:t xml:space="preserve"> </w:t>
      </w:r>
      <w:r w:rsidR="00231114">
        <w:t>and</w:t>
      </w:r>
      <w:r w:rsidRPr="00096A22">
        <w:t xml:space="preserve"> middle-income countries need increased government spending of 11.4% per year </w:t>
      </w:r>
      <w:r w:rsidRPr="00096A22">
        <w:fldChar w:fldCharType="begin"/>
      </w:r>
      <w:r w:rsidR="004A7123">
        <w:instrText xml:space="preserve"> ADDIN ZOTERO_ITEM CSL_CITATION {"citationID":"CPjVUskI","properties":{"formattedCitation":"(Schmidt-Traub 2016)","plainCitation":"(Schmidt-Traub 2016)","noteIndex":0},"citationItems":[{"id":"GGZNlT61/HHvVA70z","uris":["http://zotero.org/users/4803578/items/V8HUQ8M4"],"uri":["http://zotero.org/users/4803578/items/V8HUQ8M4"],"itemData":{"id":30,"type":"book","title":"Investment needs to achieve the Sustainable Development Goals: understanding the billions and trillions","publisher":"Sustainable Development Solutions Network","source":"Google Scholar","shortTitle":"Investment needs to achieve the Sustainable Development Goals","author":[{"family":"Schmidt-Traub","given":"Guido"}],"issued":{"date-parts":[["2016"]]}}}],"schema":"https://github.com/citation-style-language/schema/raw/master/csl-citation.json"} </w:instrText>
      </w:r>
      <w:r w:rsidRPr="00096A22">
        <w:fldChar w:fldCharType="separate"/>
      </w:r>
      <w:r w:rsidR="004A7123" w:rsidRPr="007344DD">
        <w:rPr>
          <w:rFonts w:ascii="Calibri" w:hAnsi="Calibri" w:cs="Calibri"/>
        </w:rPr>
        <w:t>(Schmidt-Traub 2016)</w:t>
      </w:r>
      <w:r w:rsidRPr="00096A22">
        <w:fldChar w:fldCharType="end"/>
      </w:r>
      <w:r w:rsidRPr="00096A22">
        <w:t>. Thus, the goal of supporting capacity for tax</w:t>
      </w:r>
      <w:r w:rsidR="00231114">
        <w:t xml:space="preserve"> </w:t>
      </w:r>
      <w:r w:rsidRPr="00096A22">
        <w:t>revenue collection has direct relevance to achievement of all the SDGs.</w:t>
      </w:r>
    </w:p>
    <w:p w14:paraId="55515A13" w14:textId="1D7A47BD" w:rsidR="00667874" w:rsidRPr="00096A22" w:rsidRDefault="00667874" w:rsidP="00667874">
      <w:r w:rsidRPr="00096A22">
        <w:t xml:space="preserve">The importance of improving revenue collection for development is often highlighted because there is evidence of a </w:t>
      </w:r>
      <w:r w:rsidR="00231114">
        <w:t>“</w:t>
      </w:r>
      <w:r w:rsidRPr="00096A22">
        <w:t>governance dividend</w:t>
      </w:r>
      <w:r w:rsidR="00231114">
        <w:t>” that</w:t>
      </w:r>
      <w:r w:rsidRPr="00096A22">
        <w:t xml:space="preserve"> accompan</w:t>
      </w:r>
      <w:r w:rsidR="00231114">
        <w:t>ies</w:t>
      </w:r>
      <w:r w:rsidRPr="00096A22">
        <w:t xml:space="preserve"> increased revenue collection capacity</w:t>
      </w:r>
      <w:r w:rsidR="00231114">
        <w:t>; this</w:t>
      </w:r>
      <w:r w:rsidRPr="00096A22">
        <w:t xml:space="preserve"> is strongly associated with the importance of </w:t>
      </w:r>
      <w:r w:rsidR="00987C1A">
        <w:t>Quality of government</w:t>
      </w:r>
      <w:r w:rsidRPr="00096A22">
        <w:t xml:space="preserve"> </w:t>
      </w:r>
      <w:r w:rsidR="00231114">
        <w:t xml:space="preserve">described earlier </w:t>
      </w:r>
      <w:r w:rsidRPr="00096A22">
        <w:fldChar w:fldCharType="begin"/>
      </w:r>
      <w:r w:rsidR="004A7123">
        <w:instrText xml:space="preserve"> ADDIN ZOTERO_ITEM CSL_CITATION {"citationID":"a2pul30tpaj","properties":{"formattedCitation":"(OECD-DAC 2012)","plainCitation":"(OECD-DAC 2012)","noteIndex":0},"citationItems":[{"id":"GGZNlT61/4eVQzEWC","uris":["http://zotero.org/users/4803578/items/9VLKL5VB"],"uri":["http://zotero.org/users/4803578/items/9VLKL5VB"],"itemData":{"id":20,"type":"report","title":"Tax and Development: Aid Modalities for Strengthening Tax Systems.","publisher":"Organization for Economic Co-operation and Development","publisher-place":"Paris","event-place":"Paris","author":[{"literal":"OECD-DAC"}],"issued":{"date-parts":[["2012",8]]}}}],"schema":"https://github.com/citation-style-language/schema/raw/master/csl-citation.json"} </w:instrText>
      </w:r>
      <w:r w:rsidRPr="00096A22">
        <w:fldChar w:fldCharType="separate"/>
      </w:r>
      <w:r w:rsidR="004A7123" w:rsidRPr="007344DD">
        <w:rPr>
          <w:rFonts w:ascii="Calibri" w:hAnsi="Calibri" w:cs="Calibri"/>
        </w:rPr>
        <w:t>(OECD-DAC 2012)</w:t>
      </w:r>
      <w:r w:rsidRPr="00096A22">
        <w:fldChar w:fldCharType="end"/>
      </w:r>
      <w:r w:rsidRPr="00096A22">
        <w:t>.</w:t>
      </w:r>
      <w:r w:rsidR="004A7123">
        <w:t xml:space="preserve"> </w:t>
      </w:r>
      <w:r w:rsidRPr="00096A22">
        <w:t>Research</w:t>
      </w:r>
      <w:r w:rsidR="004A7123">
        <w:t xml:space="preserve"> </w:t>
      </w:r>
      <w:r w:rsidRPr="00096A22">
        <w:t>in sub-Sahara</w:t>
      </w:r>
      <w:r w:rsidR="00231114">
        <w:t>n</w:t>
      </w:r>
      <w:r w:rsidRPr="00096A22">
        <w:t xml:space="preserve"> Africa suggests that improvement </w:t>
      </w:r>
      <w:r w:rsidR="00231114">
        <w:t>in</w:t>
      </w:r>
      <w:r w:rsidR="00231114" w:rsidRPr="00096A22">
        <w:t xml:space="preserve"> </w:t>
      </w:r>
      <w:r w:rsidRPr="00096A22">
        <w:t xml:space="preserve">the state’s ability to tax leads to less corrupt governments and more democratic institutions </w:t>
      </w:r>
      <w:r w:rsidRPr="00096A22">
        <w:fldChar w:fldCharType="begin"/>
      </w:r>
      <w:r w:rsidR="004A7123">
        <w:instrText xml:space="preserve"> ADDIN ZOTERO_ITEM CSL_CITATION {"citationID":"HNPyuawC","properties":{"formattedCitation":"(Baskaran and Bigsten 2013)","plainCitation":"(Baskaran and Bigsten 2013)","noteIndex":0},"citationItems":[{"id":"GGZNlT61/vWG5f2Sj","uris":["http://zotero.org/users/4803578/items/QCTFQ2KC"],"uri":["http://zotero.org/users/4803578/items/QCTFQ2KC"],"itemData":{"id":10,"type":"article-journal","title":"Fiscal Capacity and the Quality of Government in Sub-Saharan Africa","container-title":"World Development","page":"92-107","volume":"45","issue":"Supplement C","source":"ScienceDirect","abstract":"Summary\nHistorical evidence from the industrialized world suggests that the expansion of the modern state’s capacity to tax eventually led to more democratic and less corrupt governments. Using a dataset that covers 31 sub-Saharan African countries over the 1990–2005 period, we study whether the positive effect of fiscal capacity on the quality of government prevails in contemporaneous sub-Saharan Africa as well. The results provide consistent evidence that within sub-Saharan Africa, fiscal capacity decreases corruption and increases democracy.","DOI":"10.1016/j.worlddev.2012.09.018","ISSN":"0305-750X","journalAbbreviation":"World Development","author":[{"family":"Baskaran","given":"Thushyanthan"},{"family":"Bigsten","given":"Arne"}],"issued":{"date-parts":[["2013",5,1]]}}}],"schema":"https://github.com/citation-style-language/schema/raw/master/csl-citation.json"} </w:instrText>
      </w:r>
      <w:r w:rsidRPr="00096A22">
        <w:fldChar w:fldCharType="separate"/>
      </w:r>
      <w:r w:rsidR="004A7123" w:rsidRPr="007344DD">
        <w:rPr>
          <w:rFonts w:ascii="Calibri" w:hAnsi="Calibri" w:cs="Calibri"/>
        </w:rPr>
        <w:t>(Baskaran and Bigsten 2013)</w:t>
      </w:r>
      <w:r w:rsidRPr="00096A22">
        <w:fldChar w:fldCharType="end"/>
      </w:r>
      <w:r w:rsidRPr="00096A22">
        <w:t xml:space="preserve">. </w:t>
      </w:r>
      <w:r w:rsidR="00231114" w:rsidRPr="00096A22">
        <w:t xml:space="preserve">Asongu </w:t>
      </w:r>
      <w:r w:rsidRPr="00096A22">
        <w:fldChar w:fldCharType="begin"/>
      </w:r>
      <w:r w:rsidR="004A7123">
        <w:instrText xml:space="preserve"> ADDIN ZOTERO_ITEM CSL_CITATION {"citationID":"kjNutZv6","properties":{"formattedCitation":"(Asongu 2015)","plainCitation":"(Asongu 2015)","noteIndex":0},"citationItems":[{"id":"GGZNlT61/JqCgqCK1","uris":["http://zotero.org/users/4803578/items/2FRGYVES"],"uri":["http://zotero.org/users/4803578/items/2FRGYVES"],"itemData":{"id":3,"type":"article-journal","title":"On Taxation, Political Accountability and Foreign Aid: Empirics to a Celebrated Literature","container-title":"South African Journal of Economics","page":"180-198","volume":"83","issue":"2","source":"Wiley Online Library","abstract":"The Eubank findings on taxation, political accountability and foreign aid have had an important influence on academic and policymaking debates. Eubank has warned that his findings should not be generalised across Africa until they are backed by robust empirical evidence. This paper puts some empirical structure to the celebrated literature. The empirical evidence which is based on data from 53 African countries for the period 1996-2010 broadly confirms the Somaliland-based Eubank hypothesis that in the absence of foreign aid, the dependence of government on local tax revenues provides the leverage for better political governance.","DOI":"10.1111/saje.12064","ISSN":"1813-6982","shortTitle":"On Taxation, Political Accountability and Foreign Aid","journalAbbreviation":"S Afr J Econ","language":"en","author":[{"family":"Asongu","given":"Simplice"}],"issued":{"date-parts":[["2015",6,1]]}}}],"schema":"https://github.com/citation-style-language/schema/raw/master/csl-citation.json"} </w:instrText>
      </w:r>
      <w:r w:rsidRPr="00096A22">
        <w:fldChar w:fldCharType="separate"/>
      </w:r>
      <w:r w:rsidR="004A7123" w:rsidRPr="007344DD">
        <w:rPr>
          <w:rFonts w:ascii="Calibri" w:hAnsi="Calibri" w:cs="Calibri"/>
        </w:rPr>
        <w:t>(2015)</w:t>
      </w:r>
      <w:r w:rsidRPr="00096A22">
        <w:fldChar w:fldCharType="end"/>
      </w:r>
      <w:r w:rsidRPr="00096A22">
        <w:t xml:space="preserve"> provides empirical evidence confirming the hypothesis that dependence on local tax revenue (as opposed to foreign aid) improves the quality of governance. </w:t>
      </w:r>
      <w:r w:rsidR="00A249BD" w:rsidRPr="00096A22">
        <w:t xml:space="preserve">Moore </w:t>
      </w:r>
      <w:r w:rsidRPr="00096A22">
        <w:fldChar w:fldCharType="begin"/>
      </w:r>
      <w:r w:rsidR="004A7123">
        <w:instrText xml:space="preserve"> ADDIN ZOTERO_ITEM CSL_CITATION {"citationID":"a18l5jd7c6p","properties":{"formattedCitation":"(Moore 2008)","plainCitation":"(Moore 2008)","noteIndex":0},"citationItems":[{"id":"GGZNlT61/4wocUNPp","uris":["http://zotero.org/users/4803578/items/6T52QEYG"],"uri":["http://zotero.org/users/4803578/items/6T52QEYG"],"itemData":{"id":32,"type":"chapter","title":"Between coercion and contract: competing narratives on taxation and governance","container-title":"Taxation and state-building in developing countries","publisher":"Cambridge University Press","publisher-place":"New York","page":"34–63","source":"Google Scholar","event-place":"New York","shortTitle":"Between coercion and contract","author":[{"family":"Moore","given":"Mick"}],"editor":[{"family":"Brautigam","given":"D"},{"literal":"Fjeldstad, O.H"},{"literal":"Moore, M"}],"issued":{"date-parts":[["2008"]]}}}],"schema":"https://github.com/citation-style-language/schema/raw/master/csl-citation.json"} </w:instrText>
      </w:r>
      <w:r w:rsidRPr="00096A22">
        <w:fldChar w:fldCharType="separate"/>
      </w:r>
      <w:r w:rsidR="004A7123" w:rsidRPr="007344DD">
        <w:rPr>
          <w:rFonts w:ascii="Calibri" w:hAnsi="Calibri" w:cs="Calibri"/>
        </w:rPr>
        <w:t>(2008)</w:t>
      </w:r>
      <w:r w:rsidRPr="00096A22">
        <w:fldChar w:fldCharType="end"/>
      </w:r>
      <w:r w:rsidRPr="00096A22">
        <w:t xml:space="preserve"> suggests three main causal mechanisms: bargaining between the state and citizens leads to improvements in accountability</w:t>
      </w:r>
      <w:r w:rsidR="00A249BD">
        <w:t>;</w:t>
      </w:r>
      <w:r w:rsidRPr="00096A22">
        <w:t xml:space="preserve"> governments dependant on tax revenue have stronger incentives to promote economic growth</w:t>
      </w:r>
      <w:r w:rsidR="00A249BD">
        <w:t>;</w:t>
      </w:r>
      <w:r w:rsidRPr="00096A22">
        <w:t xml:space="preserve"> and tax collection requires investment in an effective bureaucracy, which can have positive effects on public administration more broadly.</w:t>
      </w:r>
    </w:p>
    <w:p w14:paraId="2CF95F20" w14:textId="1CCD526F" w:rsidR="00667874" w:rsidRPr="00096A22" w:rsidRDefault="00667874" w:rsidP="00667874">
      <w:r w:rsidRPr="00096A22">
        <w:t xml:space="preserve">Increased revenue allows governments to spend more on public goods and should improve SDG achievement in those sectors that tend to be dependent on public expenditure. </w:t>
      </w:r>
      <w:r w:rsidR="00DA65B3" w:rsidRPr="00096A22">
        <w:rPr>
          <w:rFonts w:ascii="Calibri" w:cs="Calibri"/>
          <w:color w:val="000000"/>
        </w:rPr>
        <w:t>Makuta and O’</w:t>
      </w:r>
      <w:r w:rsidR="00DA65B3">
        <w:rPr>
          <w:rFonts w:ascii="Calibri" w:cs="Calibri"/>
          <w:color w:val="000000"/>
        </w:rPr>
        <w:t xml:space="preserve">Hare </w:t>
      </w:r>
      <w:r w:rsidRPr="00096A22">
        <w:rPr>
          <w:highlight w:val="yellow"/>
        </w:rPr>
        <w:fldChar w:fldCharType="begin"/>
      </w:r>
      <w:r w:rsidR="004A7123">
        <w:rPr>
          <w:highlight w:val="yellow"/>
        </w:rPr>
        <w:instrText xml:space="preserve"> ADDIN ZOTERO_ITEM CSL_CITATION {"citationID":"amdnltsi3m","properties":{"formattedCitation":"(Makuta and O\\uc0\\u8217{}Hare 2015)","plainCitation":"(Makuta and O’Hare 2015)","noteIndex":0},"citationItems":[{"id":"GGZNlT61/zc8Jeez6","uris":["http://zotero.org/users/4803578/items/NGWFUJRV"],"uri":["http://zotero.org/users/4803578/items/NGWFUJRV"],"itemData":{"id":107,"type":"article-journal","title":"Quality of governance, public spending on health and health status in Sub Saharan Africa: a panel data regression analysis","container-title":"BMC Public Health","page":"932","volume":"15","issue":"1","source":"Google Scholar","shortTitle":"Quality of governance, public spending on health and health status in Sub Saharan Africa","author":[{"family":"Makuta","given":"Innocent"},{"family":"O’Hare","given":"Bernadette"}],"issued":{"date-parts":[["2015"]]}}}],"schema":"https://github.com/citation-style-language/schema/raw/master/csl-citation.json"} </w:instrText>
      </w:r>
      <w:r w:rsidRPr="00096A22">
        <w:rPr>
          <w:highlight w:val="yellow"/>
        </w:rPr>
        <w:fldChar w:fldCharType="separate"/>
      </w:r>
      <w:r w:rsidR="004A7123" w:rsidRPr="007344DD">
        <w:rPr>
          <w:rFonts w:ascii="Calibri" w:hAnsi="Calibri" w:cs="Calibri"/>
          <w:szCs w:val="24"/>
        </w:rPr>
        <w:t>(2015)</w:t>
      </w:r>
      <w:r w:rsidRPr="00096A22">
        <w:rPr>
          <w:highlight w:val="yellow"/>
        </w:rPr>
        <w:fldChar w:fldCharType="end"/>
      </w:r>
      <w:r w:rsidRPr="00096A22">
        <w:t xml:space="preserve"> find that increased public spending on health in sub-Sahara</w:t>
      </w:r>
      <w:r w:rsidR="00DA65B3">
        <w:t>n</w:t>
      </w:r>
      <w:r w:rsidRPr="00096A22">
        <w:t xml:space="preserve"> Africa leads</w:t>
      </w:r>
      <w:r w:rsidR="00DA65B3">
        <w:t>,</w:t>
      </w:r>
      <w:r w:rsidRPr="00096A22">
        <w:t xml:space="preserve"> as expected</w:t>
      </w:r>
      <w:r w:rsidR="00DA65B3">
        <w:t>,</w:t>
      </w:r>
      <w:r w:rsidRPr="00096A22">
        <w:t xml:space="preserve"> to significant improvements in health</w:t>
      </w:r>
      <w:r w:rsidR="00DA65B3">
        <w:t xml:space="preserve">; however, </w:t>
      </w:r>
      <w:r w:rsidRPr="00096A22">
        <w:t>their results</w:t>
      </w:r>
      <w:r w:rsidR="00DA65B3">
        <w:t xml:space="preserve"> also</w:t>
      </w:r>
      <w:r w:rsidRPr="00096A22">
        <w:t xml:space="preserve"> show that these benefits are greater when overall </w:t>
      </w:r>
      <w:r w:rsidR="00987C1A">
        <w:t>Quality of government</w:t>
      </w:r>
      <w:r w:rsidRPr="00096A22">
        <w:t xml:space="preserve"> is higher and lower when </w:t>
      </w:r>
      <w:r w:rsidR="00987C1A">
        <w:t>Quality of government</w:t>
      </w:r>
      <w:r w:rsidRPr="00096A22">
        <w:t xml:space="preserve"> is lower.</w:t>
      </w:r>
      <w:r w:rsidRPr="00096A22">
        <w:rPr>
          <w:b/>
          <w:i/>
        </w:rPr>
        <w:t xml:space="preserve"> </w:t>
      </w:r>
      <w:r w:rsidRPr="00096A22">
        <w:t xml:space="preserve">A recent literature review on government fiscal capacity and development </w:t>
      </w:r>
      <w:r w:rsidRPr="00096A22">
        <w:fldChar w:fldCharType="begin"/>
      </w:r>
      <w:r w:rsidR="004A7123">
        <w:instrText xml:space="preserve"> ADDIN ZOTERO_ITEM CSL_CITATION {"citationID":"a2eborhi1b5","properties":{"formattedCitation":"(Addison et al. 2018)","plainCitation":"(Addison et al. 2018)","noteIndex":0},"citationItems":[{"id":"GGZNlT61/wrIYmhze","uris":["http://zotero.org/users/4803578/items/56X8ZJ94"],"uri":["http://zotero.org/users/4803578/items/56X8ZJ94"],"itemData":{"id":109,"type":"report","title":"Fiscal Policy, State Building and Economic Development","publisher":"Social Science Research Network","publisher-place":"Rochester, NY","genre":"SSRN Scholarly Paper","source":"papers.ssrn.com","event-place":"Rochester, NY","abstract":"This paper presents a synopsis of the contextual conditions, factors and challenges under which the recent evolution of tax systems has taken place over the past three decades. The paper gives especial emphasis to the role of natural endowments, political economy, social structure and history, and the interplay between politics and tax revenues. These are relevant issues, considering that the Millennium Development Goals (MDGs) and now the Sustainable Development Goals (SDGs) have placed fiscal policy, and tax policy and revenue mobilization in particular, at the centre of national and international development efforts. Delivering on the SDGs will require a level of state revenue mobilization capacity in many ways unprecedented in the history of development policy.","URL":"https://papers.ssrn.com/abstract=3107165","number":"ID 3107165","language":"en","author":[{"family":"Addison","given":"Tony"},{"famil</w:instrText>
      </w:r>
      <w:r w:rsidR="004A7123">
        <w:rPr>
          <w:rFonts w:hint="eastAsia"/>
        </w:rPr>
        <w:instrText>y":"Niño</w:instrText>
      </w:r>
      <w:r w:rsidR="004A7123">
        <w:rPr>
          <w:rFonts w:hint="eastAsia"/>
        </w:rPr>
        <w:instrText>‐</w:instrText>
      </w:r>
      <w:r w:rsidR="004A7123">
        <w:rPr>
          <w:rFonts w:hint="eastAsia"/>
        </w:rPr>
        <w:instrText xml:space="preserve">Zarazúa","given":"Miguel"},{"family":"Pirttila","given":"Jukka"}],"issued":{"date-parts":[["2018",1,22]]},"accessed":{"date-parts":[["2018",3,14]]}}}],"schema":"https://github.com/citation-style-language/schema/raw/master/csl-citation.json"} </w:instrText>
      </w:r>
      <w:r w:rsidRPr="00096A22">
        <w:fldChar w:fldCharType="separate"/>
      </w:r>
      <w:r w:rsidR="004A7123" w:rsidRPr="007344DD">
        <w:rPr>
          <w:rFonts w:ascii="Calibri" w:hAnsi="Calibri" w:cs="Calibri"/>
        </w:rPr>
        <w:t>(Addison et al. 2018)</w:t>
      </w:r>
      <w:r w:rsidRPr="00096A22">
        <w:fldChar w:fldCharType="end"/>
      </w:r>
      <w:r w:rsidRPr="00096A22">
        <w:t>, highlights several key questions in need of further study</w:t>
      </w:r>
      <w:r w:rsidR="00DA65B3">
        <w:rPr>
          <w:b/>
          <w:i/>
        </w:rPr>
        <w:t>.</w:t>
      </w:r>
      <w:r w:rsidRPr="00096A22">
        <w:rPr>
          <w:b/>
          <w:i/>
        </w:rPr>
        <w:t xml:space="preserve"> </w:t>
      </w:r>
      <w:r w:rsidR="00DA65B3">
        <w:rPr>
          <w:b/>
          <w:i/>
        </w:rPr>
        <w:t>W</w:t>
      </w:r>
      <w:r w:rsidRPr="00096A22">
        <w:rPr>
          <w:b/>
          <w:i/>
        </w:rPr>
        <w:t>hy do developing countries at similar levels of economic development vary so significantly in fiscal capacity</w:t>
      </w:r>
      <w:r w:rsidR="00DA65B3">
        <w:rPr>
          <w:b/>
          <w:i/>
        </w:rPr>
        <w:t>?</w:t>
      </w:r>
      <w:r w:rsidRPr="00096A22">
        <w:rPr>
          <w:b/>
          <w:i/>
        </w:rPr>
        <w:t xml:space="preserve"> </w:t>
      </w:r>
      <w:r w:rsidR="00DA65B3">
        <w:rPr>
          <w:b/>
          <w:i/>
        </w:rPr>
        <w:t>W</w:t>
      </w:r>
      <w:r w:rsidRPr="00096A22">
        <w:rPr>
          <w:b/>
          <w:i/>
        </w:rPr>
        <w:t>hich policies have worked to improve public revenue generation capacity and redistribution in developing countries</w:t>
      </w:r>
      <w:r w:rsidR="00DA65B3">
        <w:rPr>
          <w:b/>
          <w:i/>
        </w:rPr>
        <w:t>?</w:t>
      </w:r>
      <w:r w:rsidRPr="00096A22">
        <w:rPr>
          <w:b/>
          <w:i/>
        </w:rPr>
        <w:t xml:space="preserve"> </w:t>
      </w:r>
      <w:r w:rsidR="00DA65B3">
        <w:rPr>
          <w:b/>
          <w:i/>
        </w:rPr>
        <w:t>W</w:t>
      </w:r>
      <w:r w:rsidRPr="00096A22">
        <w:rPr>
          <w:b/>
          <w:i/>
        </w:rPr>
        <w:t>hat are the political economy conditions that have allowed some</w:t>
      </w:r>
      <w:r w:rsidR="00DA65B3">
        <w:rPr>
          <w:b/>
          <w:i/>
        </w:rPr>
        <w:t xml:space="preserve"> </w:t>
      </w:r>
      <w:r w:rsidRPr="00096A22">
        <w:rPr>
          <w:b/>
          <w:i/>
        </w:rPr>
        <w:t>states to increase tax revenues?</w:t>
      </w:r>
      <w:r w:rsidR="004A7123">
        <w:rPr>
          <w:b/>
          <w:i/>
        </w:rPr>
        <w:t xml:space="preserve"> </w:t>
      </w:r>
      <w:r w:rsidRPr="00096A22">
        <w:rPr>
          <w:b/>
          <w:i/>
        </w:rPr>
        <w:t xml:space="preserve">Evidence on the links between fiscal capacity and </w:t>
      </w:r>
      <w:r w:rsidR="00987C1A">
        <w:rPr>
          <w:b/>
          <w:i/>
        </w:rPr>
        <w:t>Quality of government</w:t>
      </w:r>
      <w:r w:rsidRPr="00096A22">
        <w:rPr>
          <w:b/>
          <w:i/>
        </w:rPr>
        <w:t xml:space="preserve"> also suggests that identifying other ways </w:t>
      </w:r>
      <w:r w:rsidR="00DA65B3">
        <w:rPr>
          <w:b/>
          <w:i/>
        </w:rPr>
        <w:t>to</w:t>
      </w:r>
      <w:r w:rsidRPr="00096A22">
        <w:rPr>
          <w:b/>
          <w:i/>
        </w:rPr>
        <w:t xml:space="preserve"> simultaneously increase government revenue and the </w:t>
      </w:r>
      <w:r w:rsidR="00987C1A">
        <w:rPr>
          <w:b/>
          <w:i/>
        </w:rPr>
        <w:t>Quality of government</w:t>
      </w:r>
      <w:r w:rsidRPr="00096A22">
        <w:rPr>
          <w:b/>
          <w:i/>
        </w:rPr>
        <w:t xml:space="preserve"> could unlock self-reinforcing drivers for SDG achievement.</w:t>
      </w:r>
    </w:p>
    <w:p w14:paraId="75C30864" w14:textId="74F1C260" w:rsidR="00667874" w:rsidRPr="00096A22" w:rsidRDefault="00DA65B3" w:rsidP="00667874">
      <w:r>
        <w:t>As</w:t>
      </w:r>
      <w:r w:rsidRPr="00096A22">
        <w:t xml:space="preserve"> </w:t>
      </w:r>
      <w:r w:rsidR="00667874" w:rsidRPr="00096A22">
        <w:t>in the case of quality of government generally, there are also interactions between environmental conditions and tax</w:t>
      </w:r>
      <w:r>
        <w:t xml:space="preserve"> </w:t>
      </w:r>
      <w:r w:rsidR="00667874" w:rsidRPr="00096A22">
        <w:t xml:space="preserve">capacity that deserve attention from researchers. </w:t>
      </w:r>
      <w:r w:rsidRPr="00096A22">
        <w:t xml:space="preserve">Galinato and Galinato </w:t>
      </w:r>
      <w:r w:rsidR="00667874" w:rsidRPr="00096A22">
        <w:fldChar w:fldCharType="begin"/>
      </w:r>
      <w:r w:rsidR="004A7123">
        <w:instrText xml:space="preserve"> ADDIN ZOTERO_ITEM CSL_CITATION {"citationID":"a2m3rqjup6k","properties":{"formattedCitation":"(Galinato and Galinato 2016)","plainCitation":"(Galinato and Galinato 2016)","noteIndex":0},"citationItems":[{"id":"GGZNlT61/X1mC9uYp","uris":["http://zotero.org/users/4803578/items/3GGE3BAZ"],"uri":["http://zotero.org/users/4803578/items/3GGE3BAZ"],"itemData":{"id":110,"type":"article-journal","title":"The effects of government spending on deforestation due to agricultural land expansion and CO2 related emissions","container-title":"Ecological Economics","page":"43-53","volume":"122","source":"ScienceDirect","abstract":"This paper examines the effect of changes in government spending level and composition on deforestation due to agricultural land expansion and related carbon dioxide emissions. Our theoretical model shows an unintended consequence from increased government spending and widening social safety nets in developing countries where agricultural land expansion significantly affects forest cover: there is an increase in deforestation and carbon dioxide emissions from land use change. Our empirical tests show that an increase in total government spending significantly increases forest land clearing for agricultural production in the short run leading to more carbon dioxide emissions. However, there is no long-run statistically significant effect on the steady-state forest cover and carbon dioxide emissions.","DOI":"10.1016/j.ecolecon.2015.10.025","ISSN":"0921-8009","journalAbbreviation":"Ecological Economics","author":[{"family":"Galinato","given":"Gregmar I."},{"family":"Galinato","given":"Suzette P."}],"issued":{"date-parts":[["2016",2,1]]}}}],"schema":"https://github.com/citation-style-language/schema/raw/master/csl-citation.json"} </w:instrText>
      </w:r>
      <w:r w:rsidR="00667874" w:rsidRPr="00096A22">
        <w:fldChar w:fldCharType="separate"/>
      </w:r>
      <w:r w:rsidR="004A7123" w:rsidRPr="007344DD">
        <w:rPr>
          <w:rFonts w:ascii="Calibri" w:hAnsi="Calibri" w:cs="Calibri"/>
        </w:rPr>
        <w:t>(2016)</w:t>
      </w:r>
      <w:r w:rsidR="00667874" w:rsidRPr="00096A22">
        <w:fldChar w:fldCharType="end"/>
      </w:r>
      <w:r w:rsidR="00667874" w:rsidRPr="00096A22">
        <w:t xml:space="preserve"> find that increases in government spending in developing countries can increase CO</w:t>
      </w:r>
      <w:r w:rsidR="00667874" w:rsidRPr="00096A22">
        <w:rPr>
          <w:vertAlign w:val="subscript"/>
        </w:rPr>
        <w:t>2</w:t>
      </w:r>
      <w:r w:rsidR="00667874" w:rsidRPr="00096A22">
        <w:t xml:space="preserve"> emissions in the short</w:t>
      </w:r>
      <w:r w:rsidR="0001274F">
        <w:t xml:space="preserve"> </w:t>
      </w:r>
      <w:r w:rsidR="00667874" w:rsidRPr="00096A22">
        <w:t>run. The claim is that direct agricultural subsidies</w:t>
      </w:r>
      <w:r w:rsidR="00DA2487">
        <w:t xml:space="preserve"> – along with</w:t>
      </w:r>
      <w:r w:rsidR="00667874" w:rsidRPr="00096A22">
        <w:t xml:space="preserve"> irrigation and other input subsidies designed to increase agricultural productivity</w:t>
      </w:r>
      <w:r w:rsidR="00DA2487">
        <w:t xml:space="preserve"> –</w:t>
      </w:r>
      <w:r w:rsidR="00667874" w:rsidRPr="00096A22">
        <w:t xml:space="preserve"> lead</w:t>
      </w:r>
      <w:r w:rsidR="00DA2487">
        <w:t xml:space="preserve">s </w:t>
      </w:r>
      <w:r w:rsidR="00667874" w:rsidRPr="00096A22">
        <w:t>to increased deforestation in the shorter-te</w:t>
      </w:r>
      <w:r w:rsidR="0001274F">
        <w:t>r</w:t>
      </w:r>
      <w:r w:rsidR="00667874" w:rsidRPr="00096A22">
        <w:t>m</w:t>
      </w:r>
      <w:r w:rsidR="00DA2487">
        <w:t>.</w:t>
      </w:r>
      <w:r w:rsidR="00667874" w:rsidRPr="00096A22">
        <w:t xml:space="preserve"> </w:t>
      </w:r>
      <w:r w:rsidR="00DA2487">
        <w:t>However,</w:t>
      </w:r>
      <w:r w:rsidR="00DA2487" w:rsidRPr="00096A22">
        <w:t xml:space="preserve"> </w:t>
      </w:r>
      <w:r w:rsidR="00667874" w:rsidRPr="00096A22">
        <w:t xml:space="preserve">they find no long-term effect on the </w:t>
      </w:r>
      <w:r w:rsidR="00667874" w:rsidRPr="00096A22">
        <w:lastRenderedPageBreak/>
        <w:t>rate</w:t>
      </w:r>
      <w:r w:rsidR="00667874" w:rsidRPr="00096A22">
        <w:rPr>
          <w:i/>
        </w:rPr>
        <w:t xml:space="preserve"> </w:t>
      </w:r>
      <w:r w:rsidR="00667874" w:rsidRPr="00096A22">
        <w:t xml:space="preserve">of forest clearing. </w:t>
      </w:r>
      <w:r w:rsidR="00667874" w:rsidRPr="00096A22">
        <w:rPr>
          <w:b/>
          <w:i/>
        </w:rPr>
        <w:t>The authors suggest the need for more research on the impacts of increases in spending on infrastructure on land</w:t>
      </w:r>
      <w:r w:rsidR="00DA2487">
        <w:rPr>
          <w:b/>
          <w:i/>
        </w:rPr>
        <w:t>-</w:t>
      </w:r>
      <w:r w:rsidR="00667874" w:rsidRPr="00096A22">
        <w:rPr>
          <w:b/>
          <w:i/>
        </w:rPr>
        <w:t>use change.</w:t>
      </w:r>
      <w:r w:rsidR="00667874" w:rsidRPr="00096A22">
        <w:t xml:space="preserve"> This looks to be particularly important in developing country contexts, where land</w:t>
      </w:r>
      <w:r w:rsidR="00DA2487">
        <w:t>-</w:t>
      </w:r>
      <w:r w:rsidR="00667874" w:rsidRPr="00096A22">
        <w:t xml:space="preserve">use change may make up a large share of total GHG emissions impacts. In general, these types of results point to the importance for researchers to assess interactions between SDG goals </w:t>
      </w:r>
      <w:r w:rsidR="00DA2487">
        <w:t>and</w:t>
      </w:r>
      <w:r w:rsidR="00667874" w:rsidRPr="00096A22">
        <w:t xml:space="preserve"> targets and to assess how to promote positive interactions and mitigate negative </w:t>
      </w:r>
      <w:r w:rsidR="00DA2487">
        <w:t>ones</w:t>
      </w:r>
      <w:r w:rsidR="00667874" w:rsidRPr="00096A22">
        <w:t>, a theme that will be addressed in</w:t>
      </w:r>
      <w:r w:rsidR="004A7123">
        <w:t xml:space="preserve"> </w:t>
      </w:r>
      <w:r w:rsidR="00667874" w:rsidRPr="00096A22">
        <w:t xml:space="preserve">the following section </w:t>
      </w:r>
      <w:r w:rsidR="00667874" w:rsidRPr="00096A22">
        <w:fldChar w:fldCharType="begin"/>
      </w:r>
      <w:r w:rsidR="004A7123">
        <w:instrText xml:space="preserve"> ADDIN ZOTERO_ITEM CSL_CITATION {"citationID":"a2ooqj9be4","properties":{"formattedCitation":"(Nilsson et al. 2016)","plainCitation":"(Nilsson et al. 2016)","noteIndex":0},"citationItems":[{"id":"GGZNlT61/JAdRORl6","uris":["http://zotero.org/users/4803578/items/USV2ACCJ"],"uri":["http://zotero.org/users/4803578/items/USV2ACCJ"],"itemData":{"id":81,"type":"article-journal","title":"Policy: Map the interactions between Sustainable Development Goals","container-title":"Nature News","page":"320","volume":"534","issue":"7607","source":"www-nature-com.ezp.sub.su.se","abstract":"Måns Nilsson, Dave Griggs and Martin Visbeck present a simple way of rating relationships between the targets to highlight priorities for integrated policy.","DOI":"10.1038/534320a","shortTitle":"Policy","language":"en","author":[{"family":"Nilsson","given":"Måns"},{"family":"Griggs","given":"Dave"},{"family":"Visbeck","given":"Martin"}],"issued":{"date-parts":[["2016",6,16]]}}}],"schema":"https://github.com/citation-style-language/schema/raw/master/csl-citation.json"} </w:instrText>
      </w:r>
      <w:r w:rsidR="00667874" w:rsidRPr="00096A22">
        <w:fldChar w:fldCharType="separate"/>
      </w:r>
      <w:r w:rsidR="004A7123" w:rsidRPr="007344DD">
        <w:rPr>
          <w:rFonts w:ascii="Calibri" w:hAnsi="Calibri" w:cs="Calibri"/>
        </w:rPr>
        <w:t>(Nilsson et al. 2016)</w:t>
      </w:r>
      <w:r w:rsidR="00667874" w:rsidRPr="00096A22">
        <w:fldChar w:fldCharType="end"/>
      </w:r>
      <w:r w:rsidR="00667874" w:rsidRPr="00096A22">
        <w:t>.</w:t>
      </w:r>
    </w:p>
    <w:p w14:paraId="5625E641" w14:textId="695A9E34" w:rsidR="00667874" w:rsidRPr="00096A22" w:rsidRDefault="00667874" w:rsidP="00667874">
      <w:r w:rsidRPr="00096A22">
        <w:t>Another key link between revenue collection and social and environmental sustainability has to do with the sources of government revenue. There is a significant body of literature that suggests there is a political resource curse when governments have high reliance on non-tax revenue, especially from natural resource exports. This evidence suggest</w:t>
      </w:r>
      <w:r w:rsidR="00284BF4">
        <w:t>s</w:t>
      </w:r>
      <w:r w:rsidRPr="00096A22">
        <w:t xml:space="preserve"> that resource</w:t>
      </w:r>
      <w:r w:rsidR="00284BF4">
        <w:t>-</w:t>
      </w:r>
      <w:r w:rsidRPr="00096A22">
        <w:t xml:space="preserve">rich countries have worse public administration performance and weakened democracy </w:t>
      </w:r>
      <w:r w:rsidRPr="00096A22">
        <w:fldChar w:fldCharType="begin"/>
      </w:r>
      <w:r w:rsidR="004A7123">
        <w:instrText xml:space="preserve"> ADDIN ZOTERO_ITEM CSL_CITATION {"citationID":"vxYFnw9c","properties":{"formattedCitation":"(Andersen and Ross 2014; Aslaksen 2010; Ross 2001)","plainCitation":"(Andersen and Ross 2014; Aslaksen 2010; Ross 2001)","noteIndex":0},"citationItems":[{"id":"GGZNlT61/HhOmBKcI","uris":["http://zotero.org/users/4803578/items/R2UA5Y72"],"uri":["http://zotero.org/users/4803578/items/R2UA5Y72"],"itemData":{"id":13,"type":"article-journal","title":"The Big Oil Change: A Closer Look at the Haber–Menaldo Analysis","container-title":"Comparative Political Studies","page":"993-1021","volume":"47","issue":"7","source":"SAGE Journals","abstract":"The claim that oil wealth tends to block democratic transitions has recently been challenged by Haber and Menaldo, who use historical data going back to 1800 and conclude there is no “resource curse.” We revisit their data and models, and show they might be correct for the period before the 1970s, but since about 1980, there has been a pronounced resource curse. We argue that oil wealth only became a hindrance to democratic transitions after the transformative events of the 1970s, which enabled developing country governments to capture the oil rents that were previously siphoned off by foreign-owned firms. We also explain why the Haber–Menaldo study failed to identify this: partly because the authors draw invalid inferences from their data and partly because they assume that the relationship between oil wealth and democracy has not changed for the past 200 years.","DOI":"10.1177/0010414013488557","ISSN":"0010-4140","shortTitle":"The Big Oil Change","journalAbbreviation":"Comparative Political Studies","language":"en","author":[{"family":"Andersen","given":"Jørgen J."},{"family":"Ross","given":"Michael L."}],"issued":{"date-parts":[["2014",6,1]]}}},{"id":"GGZNlT61/NTY2YBx1","uris":["http://zotero.org/users/4803578/items/DPS3HQ4N"],"uri":["http://zotero.org/users/4803578/items/DPS3HQ4N"],"itemData":{"id":14,"type":"article-journal","title":"Oil and democracy: More than a cross-country correlation?","container-title":"Journal of Peace Research","page":"421-431","volume":"47","issue":"4","source":"SAGE Journals","abstract":"This article revisits the empirical relationship between oil and democracy. Existing studies establish a negative cross-country correlation between oil and democracy in a Pooled OLS framework. This insight has recently been challenged by claiming that it suffers from omitted variables, and that including country fixed effects removes the statistical association between oil and democracy. This article argues that because of the high persistence of democracy and oil, the findings of no effect of oil on democracy suffers from weak instrument problems and is not informative. Indeed, this article shows that levels of oil systematically predict both levels and changes in democracy in a sample of up to 156 countries between 1972 and 2002. By considering a different identification assumption for oil and by using additional and more informative moment conditions to instrument the regressors, this article demonstrates that the relationship between oil and democracy is negative also when country fixed effects are taken into account. This result holds for alternative measures of democracy and alternative measures of oil abundance; it is robust when including additional covariates and when removing major oil producers.","DOI":"10.1177/0022343310368348","ISSN":"0022-3433","shortTitle":"Oil and democracy","journalAbbreviation":"Journal of Peace Research","language":"en","author":[{"family":"Aslaksen","given":"Silje"}],"issued":{"date-parts":[["2010",7,1]]}}},{"id":"GGZNlT61/IqA6cHDD","uris":["http://zotero.org/users/4803578/items/3PPTP3W4"],"uri":["http://zotero.org/users/4803578/items/3PPTP3W4"],"itemData":{"id":15,"type":"article-journal","title":"Does Oil Hinder Democracy?","container-title":"World Politics","page":"325-361","volume":"53","issue":"3","source":"Cambridge Core","abstract":"Some scholars suggest that the Middle East's oil wealth helps explain its failure to democratize. This article examines three aspects of this “oil impedes democracy” claim. First, is it true? Does oil have a consistendy antidemocratic effect on states, once other factors are accounted for? Second, can this claim be generalized? Is it true only in the Middle East or elsewhere as well? Is it true for other types of mineral wealth and other types of commodity wealth or only for oil? Finally, if oil does have antidemocratic properties, what is the causal mechanism?The author uses pooled time-series cross-national data from 113 states between 1971 and 1997 to show that oil exports are strongly associated with authoritarian rule; that this effect is not limited to the Middle East; and that other types of mineral exports have a similar antidemocratic effect, while other types of commodity exports do not.The author also tests three explanations for this pattern: a “rentier effect,” which suggests that resource-rich governments use low tax rates and patronage to dampen democratic pressures; a “repression effect,” which holds that resource wealth enables governments to strengthen their internal security forces and hence repress popular movements; and a “modernization effect,” which implies that growth that is based on the export of oil and minerals will fail to bring about die social and cultural changes that tend to produce democratic government. He finds at least limited support for all three effects.","DOI":"10.1353/wp.2001.0011","ISSN":"1086-3338, 0043-8871","author":[{"family":"Ross","given":"Michael L."}],"issued":{"date-parts":[["2001",4]]}}}],"schema":"https://github.com/citation-style-language/schema/raw/master/csl-citation.json"} </w:instrText>
      </w:r>
      <w:r w:rsidRPr="00096A22">
        <w:fldChar w:fldCharType="separate"/>
      </w:r>
      <w:r w:rsidR="004A7123" w:rsidRPr="007344DD">
        <w:rPr>
          <w:rFonts w:ascii="Calibri" w:hAnsi="Calibri" w:cs="Calibri"/>
        </w:rPr>
        <w:t>(Andersen and Ross 2014; Aslaksen 2010; Ross 2001)</w:t>
      </w:r>
      <w:r w:rsidRPr="00096A22">
        <w:fldChar w:fldCharType="end"/>
      </w:r>
      <w:r w:rsidRPr="00096A22">
        <w:t>. At the same time, extractive industries are associate</w:t>
      </w:r>
      <w:r w:rsidR="00284BF4">
        <w:t>d</w:t>
      </w:r>
      <w:r w:rsidRPr="00096A22">
        <w:t xml:space="preserve"> with challenging environmental and social impacts </w:t>
      </w:r>
      <w:r w:rsidRPr="00096A22">
        <w:fldChar w:fldCharType="begin"/>
      </w:r>
      <w:r w:rsidR="004A7123">
        <w:instrText xml:space="preserve"> ADDIN ZOTERO_ITEM CSL_CITATION {"citationID":"auacs3t2vm","properties":{"formattedCitation":"(Yakovleva 2017)","plainCitation":"(Yakovleva 2017)","noteIndex":0},"citationItems":[{"id":"GGZNlT61/C91FK4Cw","uris":["http://zotero.org/users/4803578/items/Y6W3TQH8"],"uri":["http://zotero.org/users/4803578/items/Y6W3TQH8"],"itemData":{"id":82,"type":"book","title":"Corporate Social Responsibility in the Mining Industries","publisher":"Routledge","number-of-pages":"279","source":"Google Books","abstract":"Based on the concept of corporate social responsibility, this book analyses modern approaches adopted by mining companies that could minimise negative impacts of mining and enhance positive benefits to corporate stakeholders. Using a case study of two mining sectors (gold and diamond mining) the book evaluates policies and practices of mining companies within four key areas of corporate social responsibility: environmental protection, health and safety, employee relations and community development. Also included is an assessment of three models for community development that are developed within the mining industries: company-led approach, establishment of corporate foundation and tri-sector partnership. The study analyses management of corporate social responsibility issues with specific reference to mining in the Russian Federation and provides a comparison with global mining companies.","ISBN":"978-1-351-94837-1","note":"Google-Books-ID: rAwkDwAAQBAJ","language":"en","author":[{"family":"Yakovleva","given":"Natalia"}],"issued":{"date-parts":[["2017",5,15]]}}}],"schema":"https://github.com/citation-style-language/schema/raw/master/csl-citation.json"} </w:instrText>
      </w:r>
      <w:r w:rsidRPr="00096A22">
        <w:fldChar w:fldCharType="separate"/>
      </w:r>
      <w:r w:rsidR="004A7123" w:rsidRPr="007344DD">
        <w:rPr>
          <w:rFonts w:ascii="Calibri" w:hAnsi="Calibri" w:cs="Calibri"/>
        </w:rPr>
        <w:t>(Yakovleva 2017)</w:t>
      </w:r>
      <w:r w:rsidRPr="00096A22">
        <w:fldChar w:fldCharType="end"/>
      </w:r>
      <w:r w:rsidRPr="00096A22">
        <w:t>.</w:t>
      </w:r>
    </w:p>
    <w:p w14:paraId="06FF2442" w14:textId="2ACC44A0" w:rsidR="00667874" w:rsidRPr="00096A22" w:rsidRDefault="00667874" w:rsidP="00667874">
      <w:r w:rsidRPr="00096A22">
        <w:t xml:space="preserve">Recent evidence based on improved data on the composition of government revenue supports the hypothesis that the cause of the so called </w:t>
      </w:r>
      <w:r w:rsidR="00AE52DA">
        <w:t>“</w:t>
      </w:r>
      <w:r w:rsidRPr="00096A22">
        <w:t>political resource curse</w:t>
      </w:r>
      <w:r w:rsidR="00AE52DA">
        <w:t>”</w:t>
      </w:r>
      <w:r w:rsidRPr="00096A22">
        <w:t xml:space="preserve"> has to do with the composition of government revenue. High non-tax</w:t>
      </w:r>
      <w:r w:rsidR="00AE52DA">
        <w:t>-</w:t>
      </w:r>
      <w:r w:rsidRPr="00096A22">
        <w:t xml:space="preserve">based revenue is thought to lead to weakened accountability of government, negatively impacting </w:t>
      </w:r>
      <w:r w:rsidR="00987C1A">
        <w:t>Quality of government</w:t>
      </w:r>
      <w:r w:rsidRPr="00096A22">
        <w:t xml:space="preserve"> and democracy </w:t>
      </w:r>
      <w:r w:rsidRPr="00096A22">
        <w:fldChar w:fldCharType="begin"/>
      </w:r>
      <w:r w:rsidR="004A7123">
        <w:instrText xml:space="preserve"> ADDIN ZOTERO_ITEM CSL_CITATION {"citationID":"XRs9OZrE","properties":{"formattedCitation":"(Prichard et al. 2014)","plainCitation":"(Prichard et al. 2014)","noteIndex":0},"citationItems":[{"id":"GGZNlT61/lNY40p94","uris":["http://zotero.org/users/4803578/items/GE53ZVEF"],"uri":["http://zotero.org/users/4803578/items/GE53ZVEF"],"itemData":{"id":12,"type":"report","title":"Taxation, Non-Tax Revenue and Democracy: New Evidence Using New Cross-Country Data","publisher":"Social Science Research Network","publisher-place":"Rochester, NY","genre":"SSRN Scholarly Paper","source":"papers.ssrn.com","event-place":"Rochester, NY","abstract":"A large body of cross-country econometric research has investigated the possibility of a political resource curse, by which access to extensive natural resources reduces the extent of democracy and accountability. However, this literature has been plagued by problematic data and correspondingly inappropriate model specification. Dominant theories of the political resource curse focus on the political consequences of differences in the composition of government revenue, with greater reliance on non-tax revenue undermining democracy. However, most studies do not actually test this relationship: owing to the poor quality of government revenue data, they have focused instead on the impact of total resource income on democracy – a reasonable, but imperfect, approximation of the actual theory. Meanwhile, the robustness of those few studies that have focused on government revenue specifically is undermined by poor data quality. We overcome this problem by drawing on the newly created ICTD Government Revenue Dataset, which dramatically improves the quality of existing data and allows us to test directly the connection between the composition of government revenue and democracy. Employing this new data we re-test the most compelling econometric approaches from the existing literature, finding support for the existence of a political resource curse.","URL":"https://papers.ssrn.com/abstract=2496872","number":"ID 2496872","shortTitle":"Taxation, Non-Tax Revenue and Democracy","author":[{"family":"Prichard","given":"Wilson"},{"family":"Salardi","given":"Paola"},{"family":"Segal","given":"Paul"}],"issued":{"date-parts":[["2014",9,1]]},"accessed":{"date-parts":[["2017",12,6]]}}}],"schema":"https://github.com/citation-style-language/schema/raw/master/csl-citation.json"} </w:instrText>
      </w:r>
      <w:r w:rsidRPr="00096A22">
        <w:fldChar w:fldCharType="separate"/>
      </w:r>
      <w:r w:rsidR="004A7123" w:rsidRPr="007344DD">
        <w:rPr>
          <w:rFonts w:ascii="Calibri" w:hAnsi="Calibri" w:cs="Calibri"/>
        </w:rPr>
        <w:t>(Prichard et al. 2014)</w:t>
      </w:r>
      <w:r w:rsidRPr="00096A22">
        <w:fldChar w:fldCharType="end"/>
      </w:r>
      <w:r w:rsidRPr="00096A22">
        <w:t xml:space="preserve">. </w:t>
      </w:r>
      <w:r w:rsidR="00AE52DA" w:rsidRPr="00096A22">
        <w:t xml:space="preserve">Bhattacharyya and Hodler </w:t>
      </w:r>
      <w:r w:rsidRPr="00096A22">
        <w:fldChar w:fldCharType="begin"/>
      </w:r>
      <w:r w:rsidR="004A7123">
        <w:instrText xml:space="preserve"> ADDIN ZOTERO_ITEM CSL_CITATION {"citationID":"aqdbo4lt3q","properties":{"formattedCitation":"(Bhattacharyya and Hodler 2014)","plainCitation":"(Bhattacharyya and Hodler 2014)","noteIndex":0},"citationItems":[{"id":"GGZNlT61/aiRmIlhM","uris":["http://zotero.org/users/4803578/items/5UEQMY4R"],"uri":["http://zotero.org/users/4803578/items/5UEQMY4R"],"itemData":{"id":111,"type":"article-journal","title":"Do Natural Resource Revenues Hinder Financial Development? The Role of Political Institutions","container-title":"World Development","page":"101-113","volume":"57","source":"ScienceDirect","abstract":"Summary\nWe hypothesize that natural resource revenues may deteriorate contract enforcement if political institutions are weak. As poor contract enforcement leads to low financial development, resource revenues may hinder financial development in countries with poor political institutions, but not in countries with comparatively better political institutions. We provide empirical support for this hypothesis based on within-country variation in our sample covering the period 1970–2005 and 133 countries. Our results are robust to the use of additional control variables, different samples, and alternative measures of financial development and political institutions.","DOI":"10.1016/j.worlddev.2013.12.003","ISSN":"0305-750X","shortTitle":"Do Natural Resource Revenues Hinder Financial Development?","journalAbbreviation":"World Development","author":[{"family":"Bhattacharyya","given":"Sambit"},{"family":"Hodler","given":"Roland"}],"issued":{"date-parts":[["2014",5,1]]}}}],"schema":"https://github.com/citation-style-language/schema/raw/master/csl-citation.json"} </w:instrText>
      </w:r>
      <w:r w:rsidRPr="00096A22">
        <w:fldChar w:fldCharType="separate"/>
      </w:r>
      <w:r w:rsidR="004A7123" w:rsidRPr="007344DD">
        <w:rPr>
          <w:rFonts w:ascii="Calibri" w:hAnsi="Calibri" w:cs="Calibri"/>
        </w:rPr>
        <w:t>(2014)</w:t>
      </w:r>
      <w:r w:rsidRPr="00096A22">
        <w:fldChar w:fldCharType="end"/>
      </w:r>
      <w:r w:rsidRPr="00096A22">
        <w:t xml:space="preserve"> find that it is the combination of weak institutions and resource revenue that generates this problem, which suggests that the sustainable development agendas should focus heavily on the quality of institutions early on.</w:t>
      </w:r>
    </w:p>
    <w:p w14:paraId="051EA6E3" w14:textId="7D708F13" w:rsidR="00667874" w:rsidRPr="00096A22" w:rsidRDefault="00667874" w:rsidP="00667874">
      <w:pPr>
        <w:rPr>
          <w:rFonts w:eastAsiaTheme="minorHAnsi"/>
          <w:b/>
          <w:i/>
          <w:lang w:eastAsia="en-GB"/>
        </w:rPr>
      </w:pPr>
      <w:r w:rsidRPr="00096A22">
        <w:rPr>
          <w:b/>
          <w:i/>
        </w:rPr>
        <w:t xml:space="preserve">Research addressing how to better manage non-tax-based revenue in developing country contexts looks important. A recent review of the literature finds </w:t>
      </w:r>
      <w:r w:rsidRPr="00096A22">
        <w:rPr>
          <w:rFonts w:eastAsiaTheme="minorHAnsi"/>
          <w:b/>
          <w:i/>
          <w:lang w:eastAsia="en-GB"/>
        </w:rPr>
        <w:t xml:space="preserve">little systematic knowledge that can be used for policy advice </w:t>
      </w:r>
      <w:r w:rsidRPr="00096A22">
        <w:rPr>
          <w:rFonts w:eastAsiaTheme="minorHAnsi"/>
          <w:b/>
          <w:i/>
          <w:lang w:eastAsia="en-GB"/>
        </w:rPr>
        <w:fldChar w:fldCharType="begin"/>
      </w:r>
      <w:r w:rsidR="004A7123">
        <w:rPr>
          <w:rFonts w:eastAsiaTheme="minorHAnsi"/>
          <w:b/>
          <w:i/>
          <w:lang w:eastAsia="en-GB"/>
        </w:rPr>
        <w:instrText xml:space="preserve"> ADDIN ZOTERO_ITEM CSL_CITATION {"citationID":"ajfp471ehv","properties":{"formattedCitation":"(Ross 2015)","plainCitation":"(Ross 2015)","noteIndex":0},"citationItems":[{"id":"GGZNlT61/klTVwYbq","uris":["http://zotero.org/users/4803578/items/HTTCYXLW"],"uri":["http://zotero.org/users/4803578/items/HTTCYXLW"],"itemData":{"id":78,"type":"article-journal","title":"What Have We Learned about the Resource Curse?","container-title":"Annual Review of Political Science","page":"239-259","volume":"18","issue":"1","source":"Annual Reviews","abstract":"Since 2001, hundreds of academic studies have examined the “political resource curse,” meaning the claim that natural resource wealth tends to adversely affect a country's governance. There is now robust evidence that one type of mineral wealth, petroleum, has at least three harmful effects: It tends to make authoritarian regimes more durable, to increase certain types of corruption, and to help trigger violent conflict in low- and middle-income countries. Scholars have also made progress toward understanding the mechanisms that lead to these outcomes and the conditions that make them more likely. This essay reviews the evidence behind these claims, the debates over their validity, and some of the unresolved puzzles for future research.","DOI":"10.1146/annurev-polisci-052213-040359","author":[{"family":"Ross","given":"Michael L."}],"issued":{"date-parts":[["2015"]]}}}],"schema":"https://github.com/citation-style-language/schema/raw/master/csl-citation.json"} </w:instrText>
      </w:r>
      <w:r w:rsidRPr="00096A22">
        <w:rPr>
          <w:rFonts w:eastAsiaTheme="minorHAnsi"/>
          <w:b/>
          <w:i/>
          <w:lang w:eastAsia="en-GB"/>
        </w:rPr>
        <w:fldChar w:fldCharType="separate"/>
      </w:r>
      <w:r w:rsidR="004A7123" w:rsidRPr="007344DD">
        <w:rPr>
          <w:rFonts w:ascii="Calibri" w:hAnsi="Calibri" w:cs="Calibri"/>
        </w:rPr>
        <w:t>(Ross 2015)</w:t>
      </w:r>
      <w:r w:rsidRPr="00096A22">
        <w:rPr>
          <w:rFonts w:eastAsiaTheme="minorHAnsi"/>
          <w:b/>
          <w:i/>
          <w:lang w:eastAsia="en-GB"/>
        </w:rPr>
        <w:fldChar w:fldCharType="end"/>
      </w:r>
      <w:r w:rsidRPr="00096A22">
        <w:rPr>
          <w:rFonts w:eastAsiaTheme="minorHAnsi"/>
          <w:b/>
          <w:i/>
          <w:lang w:eastAsia="en-GB"/>
        </w:rPr>
        <w:t xml:space="preserve">. </w:t>
      </w:r>
      <w:r w:rsidRPr="00096A22">
        <w:rPr>
          <w:rFonts w:eastAsiaTheme="minorHAnsi"/>
          <w:lang w:eastAsia="en-GB"/>
        </w:rPr>
        <w:t xml:space="preserve">Within the context of the SDGs, research should not be limited to assessing the impacts of resource revenues on governance and development. </w:t>
      </w:r>
      <w:r w:rsidRPr="00096A22">
        <w:rPr>
          <w:rFonts w:eastAsiaTheme="minorHAnsi"/>
          <w:b/>
          <w:i/>
          <w:lang w:eastAsia="en-GB"/>
        </w:rPr>
        <w:t>Researchers should aim to identify strategies for how to manage governance challenges in poorer regions where important sources of revenue will not be shunned.</w:t>
      </w:r>
      <w:r w:rsidRPr="00096A22">
        <w:rPr>
          <w:rFonts w:eastAsiaTheme="minorHAnsi"/>
          <w:lang w:eastAsia="en-GB"/>
        </w:rPr>
        <w:t xml:space="preserve"> </w:t>
      </w:r>
      <w:r w:rsidRPr="00096A22">
        <w:rPr>
          <w:b/>
          <w:i/>
        </w:rPr>
        <w:t xml:space="preserve">Possibly equally important are questions about how the global partnership for SDG achievement should address the </w:t>
      </w:r>
      <w:r w:rsidR="00ED71A3">
        <w:rPr>
          <w:b/>
          <w:i/>
        </w:rPr>
        <w:t>“</w:t>
      </w:r>
      <w:r w:rsidRPr="00096A22">
        <w:rPr>
          <w:b/>
          <w:i/>
        </w:rPr>
        <w:t>political resource curse</w:t>
      </w:r>
      <w:r w:rsidR="00ED71A3">
        <w:rPr>
          <w:b/>
          <w:i/>
        </w:rPr>
        <w:t>”</w:t>
      </w:r>
      <w:r w:rsidRPr="00096A22">
        <w:rPr>
          <w:b/>
          <w:i/>
        </w:rPr>
        <w:t xml:space="preserve"> given that countries importing</w:t>
      </w:r>
      <w:r w:rsidR="00ED71A3">
        <w:rPr>
          <w:b/>
          <w:i/>
        </w:rPr>
        <w:t xml:space="preserve"> </w:t>
      </w:r>
      <w:r w:rsidRPr="00096A22">
        <w:rPr>
          <w:b/>
          <w:i/>
        </w:rPr>
        <w:t>oil</w:t>
      </w:r>
      <w:r w:rsidR="00ED71A3">
        <w:rPr>
          <w:b/>
          <w:i/>
        </w:rPr>
        <w:t>, for example,</w:t>
      </w:r>
      <w:r w:rsidRPr="00096A22">
        <w:rPr>
          <w:b/>
          <w:i/>
        </w:rPr>
        <w:t xml:space="preserve"> from countries with low </w:t>
      </w:r>
      <w:r w:rsidR="00987C1A">
        <w:rPr>
          <w:b/>
          <w:i/>
        </w:rPr>
        <w:t>Quality of government</w:t>
      </w:r>
      <w:r w:rsidRPr="00096A22">
        <w:rPr>
          <w:b/>
          <w:i/>
        </w:rPr>
        <w:t xml:space="preserve"> are directly implicated in obstacles to SDG achievement </w:t>
      </w:r>
      <w:r w:rsidRPr="00096A22">
        <w:rPr>
          <w:b/>
          <w:i/>
        </w:rPr>
        <w:fldChar w:fldCharType="begin"/>
      </w:r>
      <w:r w:rsidR="004A7123">
        <w:rPr>
          <w:b/>
          <w:i/>
        </w:rPr>
        <w:instrText xml:space="preserve"> ADDIN ZOTERO_ITEM CSL_CITATION {"citationID":"a1p9vsh8mei","properties":{"formattedCitation":"(Wenar 2015)","plainCitation":"(Wenar 2015)","noteIndex":0},"citationItems":[{"id":"GGZNlT61/RH8XYncO","uris":["http://zotero.org/users/4803578/items/6KUBQVWJ"],"uri":["http://zotero.org/users/4803578/items/6KUBQVWJ"],"itemData":{"id":79,"type":"book","title":"Blood oil: Tyrants, violence, and the rules that run the world","publisher":"Oxford University Press","source":"Google Scholar","shortTitle":"Blood oil","author":[{"family":"Wenar","given":"Leif"}],"issued":{"date-parts":[["2015"]]}}}],"schema":"https://github.com/citation-style-language/schema/raw/master/csl-citation.json"} </w:instrText>
      </w:r>
      <w:r w:rsidRPr="00096A22">
        <w:rPr>
          <w:b/>
          <w:i/>
        </w:rPr>
        <w:fldChar w:fldCharType="separate"/>
      </w:r>
      <w:r w:rsidR="004A7123" w:rsidRPr="007344DD">
        <w:rPr>
          <w:rFonts w:ascii="Calibri" w:hAnsi="Calibri" w:cs="Calibri"/>
        </w:rPr>
        <w:t>(Wenar 2015)</w:t>
      </w:r>
      <w:r w:rsidRPr="00096A22">
        <w:rPr>
          <w:b/>
          <w:i/>
        </w:rPr>
        <w:fldChar w:fldCharType="end"/>
      </w:r>
      <w:r w:rsidRPr="00096A22">
        <w:rPr>
          <w:b/>
          <w:i/>
        </w:rPr>
        <w:t>.</w:t>
      </w:r>
    </w:p>
    <w:p w14:paraId="03F4FAB5" w14:textId="34060A0B" w:rsidR="00667874" w:rsidRPr="00096A22" w:rsidRDefault="00667874" w:rsidP="00667874">
      <w:pPr>
        <w:rPr>
          <w:b/>
          <w:i/>
        </w:rPr>
      </w:pPr>
      <w:r w:rsidRPr="00096A22">
        <w:t>The need for more work on how to improve state performance in relation to non-tax</w:t>
      </w:r>
      <w:r w:rsidR="00ED71A3">
        <w:t>-based</w:t>
      </w:r>
      <w:r w:rsidRPr="00096A22">
        <w:t xml:space="preserve"> revenues also applies to tax-based revenues. </w:t>
      </w:r>
      <w:r w:rsidR="00ED71A3" w:rsidRPr="00096A22">
        <w:t xml:space="preserve">Keen </w:t>
      </w:r>
      <w:r w:rsidRPr="00096A22">
        <w:fldChar w:fldCharType="begin"/>
      </w:r>
      <w:r w:rsidR="004A7123">
        <w:instrText xml:space="preserve"> ADDIN ZOTERO_ITEM CSL_CITATION {"citationID":"ab5hgqr5f1","properties":{"formattedCitation":"(Keen 2012)","plainCitation":"(Keen 2012)","noteIndex":0},"citationItems":[{"id":"GGZNlT61/0yUsekT8","uris":["http://zotero.org/users/4803578/items/EAINUPFG"],"uri":["http://zotero.org/users/4803578/items/EAINUPFG"],"itemData":{"id":24,"type":"report","title":"Taxation and Development - Again","publisher":"Social Science Research Network","publisher-place":"Rochester, NY","genre":"SSRN Scholarly Paper","source":"papers.ssrn.com","event-place":"Rochester, NY","abstract":"Issues of taxation and development, which have long been a central concern of the IMF, have attracted wider and renewed interest in the last few years. This paper reflects on three broad lessons of experience: that developing countries differ vastly in tax matters, and in ways that are less than fully understood; that the history of ‘big ideas’ in guiding tax reform for developing countries is decidedly mixed; and that the value of the emphasis often placed  in this context  on ‘informality’ is decidedly limited. It also asks whether ideas of  ‘state building’ emphasized in some of the recent literature are likely to lead to practical advice much different from that commonly offered now.","URL":"https://papers.ssrn.com/abstract=2169764","number":"ID 2169764","author":[{"family":"Keen","given":"Michael"}],"issued":{"date-parts":[["2012",9,1]]},"accessed":{"date-parts":[["2017",12,8]]}}}],"schema":"https://github.com/citation-style-language/schema/raw/master/csl-citation.json"} </w:instrText>
      </w:r>
      <w:r w:rsidRPr="00096A22">
        <w:fldChar w:fldCharType="separate"/>
      </w:r>
      <w:r w:rsidR="004A7123" w:rsidRPr="007344DD">
        <w:rPr>
          <w:rFonts w:ascii="Calibri" w:hAnsi="Calibri" w:cs="Calibri"/>
        </w:rPr>
        <w:t>(2012)</w:t>
      </w:r>
      <w:r w:rsidRPr="00096A22">
        <w:fldChar w:fldCharType="end"/>
      </w:r>
      <w:r w:rsidRPr="00096A22">
        <w:t xml:space="preserve"> argues that recognition of the links between taxation and state building have not been accompanied by comparable advances in our understanding of how to improve taxation capacity in developing countries.</w:t>
      </w:r>
      <w:r w:rsidR="00C65191">
        <w:t xml:space="preserve"> </w:t>
      </w:r>
      <w:r w:rsidR="00C65191" w:rsidRPr="00096A22">
        <w:rPr>
          <w:b/>
          <w:i/>
        </w:rPr>
        <w:t>Prichard</w:t>
      </w:r>
      <w:r w:rsidR="00257B38">
        <w:rPr>
          <w:b/>
          <w:i/>
        </w:rPr>
        <w:t xml:space="preserve"> et al.</w:t>
      </w:r>
      <w:r w:rsidRPr="00096A22">
        <w:t xml:space="preserve"> </w:t>
      </w:r>
      <w:r w:rsidRPr="00096A22">
        <w:rPr>
          <w:b/>
          <w:i/>
        </w:rPr>
        <w:fldChar w:fldCharType="begin"/>
      </w:r>
      <w:r w:rsidR="004A7123">
        <w:rPr>
          <w:b/>
          <w:i/>
        </w:rPr>
        <w:instrText xml:space="preserve"> ADDIN ZOTERO_ITEM CSL_CITATION {"citationID":"a13f5m43lak","properties":{"formattedCitation":"(Prichard et al. 2014)","plainCitation":"(Prichard et al. 2014)","noteIndex":0},"citationItems":[{"id":"GGZNlT61/lNY40p94","uris":["http://zotero.org/users/4803578/items/GE53ZVEF"],"uri":["http://zotero.org/users/4803578/items/GE53ZVEF"],"itemData":{"id":12,"type":"report","title":"Taxation, Non-Tax Revenue and Democracy: New Evidence Using New Cross-Country Data","publisher":"Social Science Research Network","publisher-place":"Rochester, NY","genre":"SSRN Scholarly Paper","source":"papers.ssrn.com","event-place":"Rochester, NY","abstract":"A large body of cross-country econometric research has investigated the possibility of a political resource curse, by which access to extensive natural resources reduces the extent of democracy and accountability. However, this literature has been plagued by problematic data and correspondingly inappropriate model specification. Dominant theories of the political resource curse focus on the political consequences of differences in the composition of government revenue, with greater reliance on non-tax revenue undermining democracy. However, most studies do not actually test this relationship: owing to the poor quality of government revenue data, they have focused instead on the impact of total resource income on democracy – a reasonable, but imperfect, approximation of the actual theory. Meanwhile, the robustness of those few studies that have focused on government revenue specifically is undermined by poor data quality. We overcome this problem by drawing on the newly created ICTD Government Revenue Dataset, which dramatically improves the quality of existing data and allows us to test directly the connection between the composition of government revenue and democracy. Employing this new data we re-test the most compelling econometric approaches from the existing literature, finding support for the existence of a political resource curse.","URL":"https://papers.ssrn.com/abstract=2496872","number":"ID 2496872","shortTitle":"Taxation, Non-Tax Revenue and Democracy","author":[{"family":"Prichard","given":"Wilson"},{"family":"Salardi","given":"Paola"},{"family":"Segal","given":"Paul"}],"issued":{"date-parts":[["2014",9,1]]},"accessed":{"date-parts":[["2017",12,6]]}}}],"schema":"https://github.com/citation-style-language/schema/raw/master/csl-citation.json"} </w:instrText>
      </w:r>
      <w:r w:rsidRPr="00096A22">
        <w:rPr>
          <w:b/>
          <w:i/>
        </w:rPr>
        <w:fldChar w:fldCharType="separate"/>
      </w:r>
      <w:r w:rsidR="004A7123" w:rsidRPr="007344DD">
        <w:rPr>
          <w:rFonts w:ascii="Calibri" w:hAnsi="Calibri" w:cs="Calibri"/>
        </w:rPr>
        <w:t>(2014)</w:t>
      </w:r>
      <w:r w:rsidRPr="00096A22">
        <w:rPr>
          <w:b/>
          <w:i/>
        </w:rPr>
        <w:fldChar w:fldCharType="end"/>
      </w:r>
      <w:r w:rsidRPr="00096A22">
        <w:rPr>
          <w:b/>
          <w:i/>
        </w:rPr>
        <w:t xml:space="preserve"> suggest a number of</w:t>
      </w:r>
      <w:r w:rsidR="004F057C">
        <w:rPr>
          <w:b/>
          <w:i/>
        </w:rPr>
        <w:t xml:space="preserve"> focus</w:t>
      </w:r>
      <w:r w:rsidRPr="00096A22">
        <w:rPr>
          <w:b/>
          <w:i/>
        </w:rPr>
        <w:t xml:space="preserve"> areas </w:t>
      </w:r>
      <w:r w:rsidR="004F057C">
        <w:rPr>
          <w:b/>
          <w:i/>
        </w:rPr>
        <w:t>to</w:t>
      </w:r>
      <w:r w:rsidR="004F057C" w:rsidRPr="00096A22">
        <w:rPr>
          <w:b/>
          <w:i/>
        </w:rPr>
        <w:t xml:space="preserve"> </w:t>
      </w:r>
      <w:r w:rsidRPr="00096A22">
        <w:rPr>
          <w:b/>
          <w:i/>
        </w:rPr>
        <w:t>address this knowledge gap</w:t>
      </w:r>
      <w:r w:rsidR="004F057C">
        <w:rPr>
          <w:b/>
          <w:i/>
        </w:rPr>
        <w:t>,</w:t>
      </w:r>
      <w:r w:rsidRPr="00096A22">
        <w:rPr>
          <w:b/>
          <w:i/>
        </w:rPr>
        <w:t xml:space="preserve"> including: </w:t>
      </w:r>
      <w:r w:rsidR="004F057C">
        <w:rPr>
          <w:b/>
          <w:i/>
        </w:rPr>
        <w:t xml:space="preserve">examination of </w:t>
      </w:r>
      <w:r w:rsidRPr="00096A22">
        <w:rPr>
          <w:b/>
          <w:i/>
        </w:rPr>
        <w:t>how to support local leadership for reform, more systematic political economy analys</w:t>
      </w:r>
      <w:r w:rsidR="004F057C">
        <w:rPr>
          <w:b/>
          <w:i/>
        </w:rPr>
        <w:t>e</w:t>
      </w:r>
      <w:r w:rsidRPr="00096A22">
        <w:rPr>
          <w:b/>
          <w:i/>
        </w:rPr>
        <w:t xml:space="preserve">s, identification of reform programmes that better link taxation to state-building and governance objectives, </w:t>
      </w:r>
      <w:r w:rsidR="004F057C">
        <w:rPr>
          <w:b/>
          <w:i/>
        </w:rPr>
        <w:t xml:space="preserve">an </w:t>
      </w:r>
      <w:r w:rsidRPr="00096A22">
        <w:rPr>
          <w:b/>
          <w:i/>
        </w:rPr>
        <w:t xml:space="preserve">understanding </w:t>
      </w:r>
      <w:r w:rsidR="004F057C">
        <w:rPr>
          <w:b/>
          <w:i/>
        </w:rPr>
        <w:t xml:space="preserve">of the </w:t>
      </w:r>
      <w:r w:rsidRPr="00096A22">
        <w:rPr>
          <w:b/>
          <w:i/>
        </w:rPr>
        <w:t>complexities in the relationships between aid and building taxation capacity, and a better understanding of the impacts of the international policy context.</w:t>
      </w:r>
      <w:r w:rsidRPr="00096A22">
        <w:t xml:space="preserve"> </w:t>
      </w:r>
      <w:r w:rsidR="004F057C" w:rsidRPr="00096A22">
        <w:t xml:space="preserve">Fjeldstad </w:t>
      </w:r>
      <w:r w:rsidRPr="00096A22">
        <w:fldChar w:fldCharType="begin"/>
      </w:r>
      <w:r w:rsidR="004A7123">
        <w:instrText xml:space="preserve"> ADDIN ZOTERO_ITEM CSL_CITATION {"citationID":"a2dh717fg15","properties":{"formattedCitation":"(Fjeldstad 2014)","plainCitation":"(Fjeldstad 2014)","noteIndex":0},"citationItems":[{"id":"GGZNlT61/PtqACeOy","uris":["http://zotero.org/users/4803578/items/FRIPZ4IT"],"uri":["http://zotero.org/users/4803578/items/FRIPZ4IT"],"itemData":{"id":16,"type":"article-journal","title":"Tax and Development: Donor Support to Strengthen Tax Systems in Developing Countries","container-title":"Public Administration and Development","page":"182-193","volume":"34","issue":"3","source":"Wiley Online Library","abstract":"Recent years have seen a growing interest among donors on taxation in developing countries. This reflects a concern for domestic revenue mobilisation to finance public goods and services, as well as recognition of the centrality of taxation for growth and redistribution. The global financial crisis has also led many donor countries to pay more attention to the extent and effectiveness of the aid they provide and to ensuring that they support rather than discourage developing countries' own revenue-raising efforts. This article reviews the state of knowledge on aid and tax reform in developing countries, with a particular focus on Sub-Saharan Africa. The article argues that considerable and sustained efforts are required before the tax systems in most low-income countries will be significantly broadened and perceived as legitimate by the majority of citizens. Thus, donors should complement the traditional ‘technical’ approach to tax reform with measures that encourage constructive engagement between governments and citizens over tax issues. Finally, the article cautions against potential problems of donor duplication and fragmentation, which may weaken reform efforts by diverting local capacities, reducing local ownership and undermining the coherence of reform programmes. © 2014 The Authors. Public Administration and Development published by John Wiley &amp; Sons, Ltd.","DOI":"10.1002/pad.1676","ISSN":"1099-162X","shortTitle":"Tax and Development","journalAbbreviation":"Public Admin. Dev.","language":"en","author":[{"family":"Fjeldstad","given":"Odd-Helge"}],"issued":{"date-parts":[["2014",8,1]]}}}],"schema":"https://github.com/citation-style-language/schema/raw/master/csl-citation.json"} </w:instrText>
      </w:r>
      <w:r w:rsidRPr="00096A22">
        <w:fldChar w:fldCharType="separate"/>
      </w:r>
      <w:r w:rsidR="004A7123" w:rsidRPr="007344DD">
        <w:rPr>
          <w:rFonts w:ascii="Calibri" w:hAnsi="Calibri" w:cs="Calibri"/>
        </w:rPr>
        <w:t>(2014)</w:t>
      </w:r>
      <w:r w:rsidRPr="00096A22">
        <w:fldChar w:fldCharType="end"/>
      </w:r>
      <w:r w:rsidRPr="00096A22">
        <w:t xml:space="preserve"> argues that improving the ability of governments in low-income countries to collect taxes will require significant investment in increasing the perceived legitimacy of tax systems. </w:t>
      </w:r>
      <w:r w:rsidRPr="00096A22">
        <w:rPr>
          <w:b/>
          <w:i/>
        </w:rPr>
        <w:t xml:space="preserve">This raises the question about how </w:t>
      </w:r>
      <w:r w:rsidRPr="00096A22">
        <w:rPr>
          <w:b/>
          <w:i/>
        </w:rPr>
        <w:lastRenderedPageBreak/>
        <w:t>perceptions of the legitimacy of the tax</w:t>
      </w:r>
      <w:r w:rsidR="000F203C">
        <w:rPr>
          <w:b/>
          <w:i/>
        </w:rPr>
        <w:t xml:space="preserve"> </w:t>
      </w:r>
      <w:r w:rsidRPr="00096A22">
        <w:rPr>
          <w:b/>
          <w:i/>
        </w:rPr>
        <w:t>system in developing country contexts can be improved in conjunction with governance improvements (i.e. where such improvements occur)</w:t>
      </w:r>
      <w:r w:rsidR="000F203C">
        <w:rPr>
          <w:b/>
          <w:i/>
        </w:rPr>
        <w:t>.</w:t>
      </w:r>
    </w:p>
    <w:p w14:paraId="6842939F" w14:textId="0BAD908C" w:rsidR="00667874" w:rsidRPr="00096A22" w:rsidRDefault="00667874" w:rsidP="00667874">
      <w:r w:rsidRPr="00096A22">
        <w:t xml:space="preserve">Another area that has received extensive research attention is the question of whether or not foreign aid undermines incentives to collect taxes locally. Several studies have confirmed this hypothesis </w:t>
      </w:r>
      <w:r w:rsidRPr="00096A22">
        <w:fldChar w:fldCharType="begin"/>
      </w:r>
      <w:r w:rsidR="004A7123">
        <w:instrText xml:space="preserve"> ADDIN ZOTERO_ITEM CSL_CITATION {"citationID":"vgsBVnEh","properties":{"formattedCitation":"(Benedek et al. 2014; Br\\uc0\\u228{}utigam and Knack 2004; Remmer 2004; Thornton 2014)","plainCitation":"(Benedek et al. 2014; Bräutigam and Knack 2004; Remmer 2004; Thornton 2014)","noteIndex":0},"citationItems":[{"id":"GGZNlT61/RPsi6YfZ","uris":["http://zotero.org/users/4803578/items/S9SSE54V"],"uri":["http://zotero.org/users/4803578/items/S9SSE54V"],"itemData":{"id":115,"type":"article-journal","title":"Foreign aid and revenue: Still a crowding-out effect?","container-title":"FinanzArchiv: Public Finance Analysis","page":"67–96","volume":"70","issue":"1","source":"Google Scholar","shortTitle":"Foreign aid and revenue","author":[{"family":"Benedek","given":"Dora"},{"family":"Crivelli","given":"Ernesto"},{"family":"Gupta","given":"Sanjeev"},{"family":"Muthoora","given":"Priscilla"}],"issued":{"date-parts":[["2014"]]}}},{"id":"GGZNlT61/qdpMR7ie","uris":["http://zotero.org/users/4803578/items/VLIBBJGC"],"uri":["http://zotero.org/users/4803578/items/VLIBBJGC"],"itemData":{"id":113,"type":"article-journal","title":"Foreign aid, institutions, and governance in sub-Saharan Africa","container-title":"Economic development and cultural change","page":"255–285","volume":"52","issue":"2","source":"Google Scholar","author":[{"family":"Bräutigam","given":"Deborah A."},{"family":"Knack","given":"Stephen"}],"issued":{"date-parts":[["2004"]]}}},{"id":"GGZNlT61/CSdtcvYD","uris":["http://zotero.org/users/4803578/items/2VHENRKL"],"uri":["http://zotero.org/users/4803578/items/2VHENRKL"],"itemData":{"id":112,"type":"article-journal","title":"Does foreign aid promote the expansion of government?","container-title":"American Journal of Political Science","page":"77–92","volume":"48","issue":"1","source":"Google Scholar","author":[{"family":"Remmer","given":"Karen L."}],"issued":{"date-parts":[["2004"]]}}},{"id":"GGZNlT61/3FcP149W","uris":["http://zotero.org/users/4803578/items/TAKZYF23"],"uri":["http://zotero.org/users/4803578/items/TAKZYF23"],"itemData":{"id":114,"type":"article-journal","title":"Does foreign aid reduce tax revenue? Further evidence","container-title":"Applied Economics","page":"359–373","volume":"46","issue":"4","source":"Google Scholar","shortTitle":"Does foreign aid reduce tax revenue?","author":[{"family":"Thornton","given":"John"}],"issued":{"date-parts":[["2014"]]}}}],"schema":"https://github.com/citation-style-language/schema/raw/master/csl-citation.json"} </w:instrText>
      </w:r>
      <w:r w:rsidRPr="00096A22">
        <w:fldChar w:fldCharType="separate"/>
      </w:r>
      <w:r w:rsidR="004A7123" w:rsidRPr="007344DD">
        <w:rPr>
          <w:rFonts w:ascii="Calibri" w:hAnsi="Calibri" w:cs="Calibri"/>
          <w:szCs w:val="24"/>
        </w:rPr>
        <w:t>(Benedek et al. 2014; Bräutigam and Knack 2004; Remmer 2004; Thornton 2014)</w:t>
      </w:r>
      <w:r w:rsidRPr="00096A22">
        <w:fldChar w:fldCharType="end"/>
      </w:r>
      <w:r w:rsidRPr="00096A22">
        <w:t xml:space="preserve">. Other studies have found no relation </w:t>
      </w:r>
      <w:r w:rsidRPr="00096A22">
        <w:fldChar w:fldCharType="begin"/>
      </w:r>
      <w:r w:rsidR="004A7123">
        <w:instrText xml:space="preserve"> ADDIN ZOTERO_ITEM CSL_CITATION {"citationID":"a6ea02aq5m","properties":{"formattedCitation":"(Clist and Morrissey 2011)","plainCitation":"(Clist and Morrissey 2011)","noteIndex":0},"citationItems":[{"id":"GGZNlT61/ztpKIsWh","uris":["http://zotero.org/users/4803578/items/6Z69LL94"],"uri":["http://zotero.org/users/4803578/items/6Z69LL94"],"itemData":{"id":116,"type":"article-journal","title":"Aid and tax revenue: signs of a positive effect since the 1980s","container-title":"Journal of International Development","page":"165–180","volume":"23","issue":"2","source":"Google Scholar","shortTitle":"Aid and tax revenue","author":[{"family":"Clist","given":"Paul"},{"family":"Morrissey","given":"Oliver"}],"issued":{"date-parts":[["2011"]]}}}],"schema":"https://github.com/citation-style-language/schema/raw/master/csl-citation.json"} </w:instrText>
      </w:r>
      <w:r w:rsidRPr="00096A22">
        <w:fldChar w:fldCharType="separate"/>
      </w:r>
      <w:r w:rsidR="004A7123" w:rsidRPr="007344DD">
        <w:rPr>
          <w:rFonts w:ascii="Calibri" w:hAnsi="Calibri" w:cs="Calibri"/>
        </w:rPr>
        <w:t>(Clist and Morrissey 2011)</w:t>
      </w:r>
      <w:r w:rsidRPr="00096A22">
        <w:fldChar w:fldCharType="end"/>
      </w:r>
      <w:r w:rsidRPr="00096A22">
        <w:t xml:space="preserve">, or found that the effect was dependent on the quality of government in receiving countries </w:t>
      </w:r>
      <w:r w:rsidRPr="00096A22">
        <w:fldChar w:fldCharType="begin"/>
      </w:r>
      <w:r w:rsidR="004A7123">
        <w:instrText xml:space="preserve"> ADDIN ZOTERO_ITEM CSL_CITATION {"citationID":"a1lrdj49sk6","properties":{"formattedCitation":"(2011)","plainCitation":"(2011)","noteIndex":0},"citationItems":[{"id":"GGZNlT61/cd7kxEW9","uris":["http://zotero.org/users/4803578/items/NKEK37AM"],"uri":["http://zotero.org/users/4803578/items/NKEK37AM"],"itemData":{"id":118,"type":"article-journal","title":"Aide et mobilisation fiscale dans les pays en développement","source":"Google Scholar","author":[{"family":"Brun","given":"Jean-François"},{"family":"Chambas","given":"Gérard"},{"family":"Guerineau","given":"Samuel"}],"issued":{"date-parts":[["2011"]]}}}],"schema":"https://github.com/citation-style-language/schema/raw/master/csl-citation.json"} </w:instrText>
      </w:r>
      <w:r w:rsidRPr="00096A22">
        <w:fldChar w:fldCharType="separate"/>
      </w:r>
      <w:r w:rsidR="004A7123" w:rsidRPr="007344DD">
        <w:rPr>
          <w:rFonts w:ascii="Calibri" w:hAnsi="Calibri" w:cs="Calibri"/>
        </w:rPr>
        <w:t>(2011)</w:t>
      </w:r>
      <w:r w:rsidRPr="00096A22">
        <w:fldChar w:fldCharType="end"/>
      </w:r>
      <w:r w:rsidRPr="00096A22">
        <w:t>. However,</w:t>
      </w:r>
      <w:r w:rsidR="00AF2865">
        <w:t xml:space="preserve"> </w:t>
      </w:r>
      <w:r w:rsidR="00AF2865" w:rsidRPr="00096A22">
        <w:t>Prichard</w:t>
      </w:r>
      <w:r w:rsidRPr="00096A22">
        <w:t xml:space="preserve"> </w:t>
      </w:r>
      <w:r w:rsidRPr="00096A22">
        <w:fldChar w:fldCharType="begin"/>
      </w:r>
      <w:r w:rsidR="004A7123">
        <w:instrText xml:space="preserve"> ADDIN ZOTERO_ITEM CSL_CITATION {"citationID":"a1q06p9jlkq","properties":{"formattedCitation":"(Prichard 2016)","plainCitation":"(Prichard 2016)","noteIndex":0},"citationItems":[{"id":"GGZNlT61/KZRFoAgV","uris":["http://zotero.org/users/4803578/items/9G8AJWNN"],"uri":["http://zotero.org/users/4803578/items/9G8AJWNN"],"itemData":{"id":119,"type":"article-journal","title":"Reassessing Tax and Development Research: A New Dataset, New Findings, and Lessons for Research","container-title":"World Development","page":"48–60","volume":"80","source":"Google Scholar","shortTitle":"Reassessing Tax and Development Research","author":[{"family":"Prichard","given":"Wilson"}],"issued":{"date-parts":[["2016"]]}}}],"schema":"https://github.com/citation-style-language/schema/raw/master/csl-citation.json"} </w:instrText>
      </w:r>
      <w:r w:rsidRPr="00096A22">
        <w:fldChar w:fldCharType="separate"/>
      </w:r>
      <w:r w:rsidR="004A7123" w:rsidRPr="007344DD">
        <w:rPr>
          <w:rFonts w:ascii="Calibri" w:hAnsi="Calibri" w:cs="Calibri"/>
        </w:rPr>
        <w:t>(2016)</w:t>
      </w:r>
      <w:r w:rsidRPr="00096A22">
        <w:fldChar w:fldCharType="end"/>
      </w:r>
      <w:r w:rsidRPr="00096A22">
        <w:t xml:space="preserve"> argues that much of this debate is due to poor or inconsistent datasets. Using new data sets</w:t>
      </w:r>
      <w:r w:rsidR="00F42AB6">
        <w:t>,</w:t>
      </w:r>
      <w:r w:rsidRPr="00096A22">
        <w:t xml:space="preserve"> researchers claim to find no significant impacts of aid on revenue collection</w:t>
      </w:r>
      <w:r w:rsidR="00F42AB6">
        <w:t xml:space="preserve"> </w:t>
      </w:r>
      <w:r w:rsidRPr="00096A22">
        <w:fldChar w:fldCharType="begin"/>
      </w:r>
      <w:r w:rsidR="004A7123">
        <w:instrText xml:space="preserve"> ADDIN ZOTERO_ITEM CSL_CITATION {"citationID":"a2c29dq8js5","properties":{"formattedCitation":"(Morrissey 2015; Morrissey et al. 2014; Morrissey and Torrance 2015)","plainCitation":"(Morrissey 2015; Morrissey et al. 2014; Morrissey and Torrance 2015)","noteIndex":0},"citationItems":[{"id":"GGZNlT61/f2OSR0UJ","uris":["http://zotero.org/users/4803578/items/BMF4KE4P"],"uri":["http://zotero.org/users/4803578/items/BMF4KE4P"],"itemData":{"id":121,"type":"article-journal","title":"Aid and domestic resource mobilization with a focus on Sub-Saharan Africa","container-title":"Oxford Review of Economic Policy","page":"447–461","volume":"31","issue":"3-4","source":"Google Scholar","author":[{"family":"Morrissey","given":"Oliver"}],"issued":{"date-parts":[["2015"]]}}},{"id":"GGZNlT61/WrFprKsa","uris":["http://zotero.org/users/4803578/items/Z3KTZMY6"],"uri":["http://zotero.org/users/4803578/items/Z3KTZMY6"],"itemData":{"id":120,"type":"article-journal","title":"Aid and Taxation: Exploring the relationship using new data","source":"Google Scholar","shortTitle":"Aid and Taxation","author":[{"family":"Morrissey","given":"Oliver"},{"family":"Prichard","given":"Wilson"},{"family":"Torrance","given":"Samantha"}],"issued":{"date-parts":[["2014"]]}}},{"id":"GGZNlT61/RcdsB6vZ","uris":["http://zotero.org/users/4803578/items/BGVRZQXG"],"uri":["http://zotero.org/users/4803578/items/BGVRZQXG"],"itemData":{"id":122,"type":"article-journal","title":"Aid and taxation","source":"Google Scholar","author":[{"family":"Morrissey","given":"Oliver"},{"family":"Torrance","given":"Samantha"}],"issued":{"date-parts":[["2015"]]}}}],"schema":"https://github.com/citation-style-language/schema/raw/master/csl-citation.json"} </w:instrText>
      </w:r>
      <w:r w:rsidRPr="00096A22">
        <w:fldChar w:fldCharType="separate"/>
      </w:r>
      <w:r w:rsidR="004A7123" w:rsidRPr="007344DD">
        <w:rPr>
          <w:rFonts w:ascii="Calibri" w:hAnsi="Calibri" w:cs="Calibri"/>
        </w:rPr>
        <w:t>(Morrissey 2015; Morrissey et al. 2014; Morrissey and Torrance 2015)</w:t>
      </w:r>
      <w:r w:rsidRPr="00096A22">
        <w:fldChar w:fldCharType="end"/>
      </w:r>
      <w:r w:rsidRPr="00096A22">
        <w:t xml:space="preserve">. </w:t>
      </w:r>
      <w:r w:rsidRPr="00096A22">
        <w:rPr>
          <w:b/>
          <w:i/>
        </w:rPr>
        <w:t>This work highlights that even in areas where there is a significant body of research, we should also be assessing gaps in data access and especially gaps in data quality. This type of assessment requires inputs from those experts collecting and using data in their respective fields.</w:t>
      </w:r>
    </w:p>
    <w:p w14:paraId="5D26187F" w14:textId="77777777" w:rsidR="007C4929" w:rsidRPr="00096A22" w:rsidRDefault="007C4929" w:rsidP="007C4929">
      <w:pPr>
        <w:pStyle w:val="Heading2"/>
      </w:pPr>
      <w:bookmarkStart w:id="32" w:name="_Toc529789839"/>
      <w:r w:rsidRPr="00096A22">
        <w:t>Expert recommendations (workshop outputs)</w:t>
      </w:r>
      <w:bookmarkEnd w:id="32"/>
    </w:p>
    <w:p w14:paraId="1986A2E5" w14:textId="237B7214" w:rsidR="001960AE" w:rsidRPr="00096A22" w:rsidRDefault="001F4B11" w:rsidP="00667874">
      <w:r w:rsidRPr="00096A22">
        <w:t xml:space="preserve">A number of additional research directions related to </w:t>
      </w:r>
      <w:r w:rsidR="00075B1A" w:rsidRPr="00096A22">
        <w:t xml:space="preserve">public administration and the </w:t>
      </w:r>
      <w:r w:rsidR="00987C1A">
        <w:t>Quality of government</w:t>
      </w:r>
      <w:r w:rsidR="00075B1A" w:rsidRPr="00096A22">
        <w:t xml:space="preserve"> were identified by the experts participating in the SDG 17 workshop.</w:t>
      </w:r>
      <w:r w:rsidR="004A7123">
        <w:t xml:space="preserve"> </w:t>
      </w:r>
      <w:r w:rsidR="00075B1A" w:rsidRPr="00096A22">
        <w:t>P</w:t>
      </w:r>
      <w:r w:rsidR="001960AE" w:rsidRPr="00096A22">
        <w:t xml:space="preserve">articipants suggested </w:t>
      </w:r>
      <w:r w:rsidR="00075B1A" w:rsidRPr="00096A22">
        <w:t xml:space="preserve">there are multiple </w:t>
      </w:r>
      <w:r w:rsidR="001960AE" w:rsidRPr="00096A22">
        <w:t>scale</w:t>
      </w:r>
      <w:r w:rsidR="00075B1A" w:rsidRPr="00096A22">
        <w:t>s</w:t>
      </w:r>
      <w:r w:rsidR="003B32E1">
        <w:t xml:space="preserve"> – beyond the national level --</w:t>
      </w:r>
      <w:r w:rsidR="004A7123">
        <w:t xml:space="preserve"> </w:t>
      </w:r>
      <w:r w:rsidR="001960AE" w:rsidRPr="00096A22">
        <w:t>at</w:t>
      </w:r>
      <w:r w:rsidR="003B32E1">
        <w:t xml:space="preserve"> </w:t>
      </w:r>
      <w:r w:rsidR="001960AE" w:rsidRPr="00096A22">
        <w:t xml:space="preserve">which </w:t>
      </w:r>
      <w:r w:rsidR="00987C1A">
        <w:t>Quality of government</w:t>
      </w:r>
      <w:r w:rsidR="001960AE" w:rsidRPr="00096A22">
        <w:t xml:space="preserve"> </w:t>
      </w:r>
      <w:r w:rsidR="00075B1A" w:rsidRPr="00096A22">
        <w:t>could be</w:t>
      </w:r>
      <w:r w:rsidR="001960AE" w:rsidRPr="00096A22">
        <w:t xml:space="preserve"> used as a </w:t>
      </w:r>
      <w:r w:rsidR="0080488B" w:rsidRPr="00096A22">
        <w:t>lens</w:t>
      </w:r>
      <w:r w:rsidR="001960AE" w:rsidRPr="00096A22">
        <w:t xml:space="preserve"> of analysis </w:t>
      </w:r>
      <w:r w:rsidR="0080488B" w:rsidRPr="00096A22">
        <w:t>for SDG implementation</w:t>
      </w:r>
      <w:r w:rsidR="003B32E1">
        <w:t>,</w:t>
      </w:r>
      <w:r w:rsidR="0080488B" w:rsidRPr="00096A22">
        <w:t xml:space="preserve"> </w:t>
      </w:r>
      <w:r w:rsidR="00075B1A" w:rsidRPr="00096A22">
        <w:t xml:space="preserve">including at the </w:t>
      </w:r>
      <w:r w:rsidR="001960AE" w:rsidRPr="00096A22">
        <w:t>cit</w:t>
      </w:r>
      <w:r w:rsidR="00075B1A" w:rsidRPr="00096A22">
        <w:t xml:space="preserve">y, sub-regional and even NGO level. </w:t>
      </w:r>
      <w:r w:rsidR="0080488B" w:rsidRPr="00096A22">
        <w:t xml:space="preserve">Another issue brought up was that assessment of </w:t>
      </w:r>
      <w:r w:rsidR="00987C1A">
        <w:t>Quality of government</w:t>
      </w:r>
      <w:r w:rsidR="0080488B" w:rsidRPr="00096A22">
        <w:t xml:space="preserve"> for the SDGs requires advancements on how we should measure the quality of SDG implementation and achievement.</w:t>
      </w:r>
      <w:r w:rsidR="004A7123">
        <w:t xml:space="preserve"> </w:t>
      </w:r>
      <w:r w:rsidR="00F62EC6" w:rsidRPr="00096A22">
        <w:t>In a similar vein, some participants called for more reflection on what should count as progress on the SDGs in different context</w:t>
      </w:r>
      <w:r w:rsidR="00075B1A" w:rsidRPr="00096A22">
        <w:t>s</w:t>
      </w:r>
      <w:r w:rsidR="00F62EC6" w:rsidRPr="00096A22">
        <w:t xml:space="preserve"> given the highly ambitious nature of Agenda 2030 (i.e. what are realistic expectations).</w:t>
      </w:r>
    </w:p>
    <w:p w14:paraId="5D23EE1A" w14:textId="19603911" w:rsidR="00F172AA" w:rsidRPr="00096A22" w:rsidRDefault="00075B1A" w:rsidP="00667874">
      <w:r w:rsidRPr="00096A22">
        <w:t xml:space="preserve">Some workshop participants suggested </w:t>
      </w:r>
      <w:r w:rsidR="00297463">
        <w:t xml:space="preserve">a </w:t>
      </w:r>
      <w:r w:rsidRPr="00096A22">
        <w:t>call for research that would help us</w:t>
      </w:r>
      <w:r w:rsidR="0080488B" w:rsidRPr="00096A22">
        <w:t xml:space="preserve"> better understand existing action gap</w:t>
      </w:r>
      <w:r w:rsidRPr="00096A22">
        <w:t>s</w:t>
      </w:r>
      <w:r w:rsidR="0080488B" w:rsidRPr="00096A22">
        <w:t xml:space="preserve"> for SDG achievement</w:t>
      </w:r>
      <w:r w:rsidRPr="00096A22">
        <w:t>.</w:t>
      </w:r>
      <w:r w:rsidR="0080488B" w:rsidRPr="00096A22">
        <w:t xml:space="preserve"> </w:t>
      </w:r>
      <w:r w:rsidRPr="00096A22">
        <w:t>One dimension of this research involves</w:t>
      </w:r>
      <w:r w:rsidR="0080488B" w:rsidRPr="00096A22">
        <w:t xml:space="preserve"> understand</w:t>
      </w:r>
      <w:r w:rsidRPr="00096A22">
        <w:t>ing</w:t>
      </w:r>
      <w:r w:rsidR="0080488B" w:rsidRPr="00096A22">
        <w:t xml:space="preserve"> and develop</w:t>
      </w:r>
      <w:r w:rsidR="00297463">
        <w:t>ing</w:t>
      </w:r>
      <w:r w:rsidR="0080488B" w:rsidRPr="00096A22">
        <w:t xml:space="preserve"> strategies to address low levels of general public engagement in the SDG agenda.</w:t>
      </w:r>
      <w:r w:rsidR="00F62EC6" w:rsidRPr="00096A22">
        <w:t xml:space="preserve"> In general, </w:t>
      </w:r>
      <w:r w:rsidR="00297463">
        <w:t xml:space="preserve">participants called for </w:t>
      </w:r>
      <w:r w:rsidR="00F62EC6" w:rsidRPr="00096A22">
        <w:t>more strategic</w:t>
      </w:r>
      <w:r w:rsidR="00297463">
        <w:t>-</w:t>
      </w:r>
      <w:r w:rsidR="00F62EC6" w:rsidRPr="00096A22">
        <w:t xml:space="preserve">oriented work on how to actually bring about better </w:t>
      </w:r>
      <w:r w:rsidR="00987C1A">
        <w:t>Quality of government</w:t>
      </w:r>
      <w:r w:rsidR="00F62EC6" w:rsidRPr="00096A22">
        <w:t xml:space="preserve"> and minimi</w:t>
      </w:r>
      <w:r w:rsidR="00FB01AA">
        <w:t>s</w:t>
      </w:r>
      <w:r w:rsidR="00F62EC6" w:rsidRPr="00096A22">
        <w:t xml:space="preserve">e corruption. </w:t>
      </w:r>
      <w:r w:rsidR="00672563" w:rsidRPr="00096A22">
        <w:t xml:space="preserve">On the specific issue of increasing taxation capacity, participants called for basic research on strategies for broadening the tax base in contexts where public services have been poor and trust </w:t>
      </w:r>
      <w:r w:rsidR="00DC2068" w:rsidRPr="00096A22">
        <w:t xml:space="preserve">in broad payment low </w:t>
      </w:r>
      <w:r w:rsidR="00672563" w:rsidRPr="00096A22">
        <w:t xml:space="preserve">(i.e. as an issue that </w:t>
      </w:r>
      <w:r w:rsidR="00297463">
        <w:t>exists</w:t>
      </w:r>
      <w:r w:rsidR="00672563" w:rsidRPr="00096A22">
        <w:t xml:space="preserve"> prior to broadening the tax base for SDG achievement).</w:t>
      </w:r>
      <w:r w:rsidR="004A7123">
        <w:t xml:space="preserve"> </w:t>
      </w:r>
      <w:r w:rsidR="00672563" w:rsidRPr="00096A22">
        <w:t>I</w:t>
      </w:r>
      <w:r w:rsidRPr="00096A22">
        <w:t xml:space="preserve">t was </w:t>
      </w:r>
      <w:r w:rsidR="00672563" w:rsidRPr="00096A22">
        <w:t xml:space="preserve">also </w:t>
      </w:r>
      <w:r w:rsidRPr="00096A22">
        <w:t xml:space="preserve">argued that </w:t>
      </w:r>
      <w:r w:rsidR="005A152C" w:rsidRPr="00096A22">
        <w:t>there is</w:t>
      </w:r>
      <w:r w:rsidRPr="00096A22">
        <w:t xml:space="preserve"> </w:t>
      </w:r>
      <w:r w:rsidR="00DC2068" w:rsidRPr="00096A22">
        <w:t xml:space="preserve">a </w:t>
      </w:r>
      <w:r w:rsidR="005A152C" w:rsidRPr="00096A22">
        <w:t xml:space="preserve">need </w:t>
      </w:r>
      <w:r w:rsidRPr="00096A22">
        <w:t>to</w:t>
      </w:r>
      <w:r w:rsidR="005A152C" w:rsidRPr="00096A22">
        <w:t xml:space="preserve"> better understand how international support and international cooperation can actually contribute to domestic </w:t>
      </w:r>
      <w:r w:rsidR="00987C1A">
        <w:t>Quality of government</w:t>
      </w:r>
      <w:r w:rsidR="005A152C" w:rsidRPr="00096A22">
        <w:t xml:space="preserve"> improvements in different regions.</w:t>
      </w:r>
    </w:p>
    <w:p w14:paraId="46723D27" w14:textId="204DA92F" w:rsidR="0080488B" w:rsidRPr="00096A22" w:rsidRDefault="00F172AA" w:rsidP="00667874">
      <w:r w:rsidRPr="00096A22">
        <w:t>Many participants worried that SDG</w:t>
      </w:r>
      <w:r w:rsidR="00AB5060" w:rsidRPr="00096A22">
        <w:t xml:space="preserve"> 17 reflects</w:t>
      </w:r>
      <w:r w:rsidRPr="00096A22">
        <w:t xml:space="preserve"> underlying assumptions about </w:t>
      </w:r>
      <w:r w:rsidR="00987C1A">
        <w:t xml:space="preserve">achieving </w:t>
      </w:r>
      <w:r w:rsidRPr="00096A22">
        <w:t xml:space="preserve">high </w:t>
      </w:r>
      <w:r w:rsidR="00987C1A">
        <w:t>quality of government</w:t>
      </w:r>
      <w:r w:rsidR="0080488B" w:rsidRPr="00096A22">
        <w:t xml:space="preserve"> </w:t>
      </w:r>
      <w:r w:rsidRPr="00096A22">
        <w:t xml:space="preserve">in developed countries and low </w:t>
      </w:r>
      <w:r w:rsidR="00987C1A">
        <w:t>Quality of government</w:t>
      </w:r>
      <w:r w:rsidRPr="00096A22">
        <w:t xml:space="preserve"> achievement in developing countries. </w:t>
      </w:r>
      <w:r w:rsidR="00AB5060" w:rsidRPr="00096A22">
        <w:t>This assumption leaves a number of research gaps</w:t>
      </w:r>
      <w:r w:rsidR="00325B9A" w:rsidRPr="00096A22">
        <w:t xml:space="preserve"> such as</w:t>
      </w:r>
      <w:r w:rsidR="00AB5060" w:rsidRPr="00096A22">
        <w:t xml:space="preserve"> a</w:t>
      </w:r>
      <w:r w:rsidRPr="00096A22">
        <w:t xml:space="preserve"> better understand</w:t>
      </w:r>
      <w:r w:rsidR="00AB5060" w:rsidRPr="00096A22">
        <w:t>ing</w:t>
      </w:r>
      <w:r w:rsidRPr="00096A22">
        <w:t xml:space="preserve"> </w:t>
      </w:r>
      <w:r w:rsidR="00AB5060" w:rsidRPr="00096A22">
        <w:t xml:space="preserve">of </w:t>
      </w:r>
      <w:r w:rsidRPr="00096A22">
        <w:t>Sweden</w:t>
      </w:r>
      <w:r w:rsidR="00AB5060" w:rsidRPr="00096A22">
        <w:t xml:space="preserve">’s own challenges with </w:t>
      </w:r>
      <w:r w:rsidR="00987C1A">
        <w:t>Quality of government</w:t>
      </w:r>
      <w:r w:rsidR="00AB5060" w:rsidRPr="00096A22">
        <w:t xml:space="preserve"> and where i</w:t>
      </w:r>
      <w:r w:rsidR="00297463">
        <w:t>t</w:t>
      </w:r>
      <w:r w:rsidR="00AB5060" w:rsidRPr="00096A22">
        <w:t xml:space="preserve"> can best be viewed as</w:t>
      </w:r>
      <w:r w:rsidR="00325B9A" w:rsidRPr="00096A22">
        <w:t xml:space="preserve"> a role model,</w:t>
      </w:r>
      <w:r w:rsidR="00AB5060" w:rsidRPr="00096A22">
        <w:t xml:space="preserve"> </w:t>
      </w:r>
      <w:r w:rsidR="00F62EC6" w:rsidRPr="00096A22">
        <w:t xml:space="preserve">understanding the problem of a retreat in </w:t>
      </w:r>
      <w:r w:rsidR="00987C1A">
        <w:t>Quality of government</w:t>
      </w:r>
      <w:r w:rsidR="00F62EC6" w:rsidRPr="00096A22">
        <w:t xml:space="preserve"> in more developed countries</w:t>
      </w:r>
      <w:r w:rsidR="00325B9A" w:rsidRPr="00096A22">
        <w:t>,</w:t>
      </w:r>
      <w:r w:rsidR="00F62EC6" w:rsidRPr="00096A22">
        <w:t xml:space="preserve"> and the identification of strategies</w:t>
      </w:r>
      <w:r w:rsidR="00325B9A" w:rsidRPr="00096A22">
        <w:t xml:space="preserve"> to prevent </w:t>
      </w:r>
      <w:r w:rsidR="00987C1A">
        <w:t>Quality of government</w:t>
      </w:r>
      <w:r w:rsidR="00325B9A" w:rsidRPr="00096A22">
        <w:t xml:space="preserve"> deterioration</w:t>
      </w:r>
      <w:r w:rsidR="00F62EC6" w:rsidRPr="00096A22">
        <w:t>.</w:t>
      </w:r>
    </w:p>
    <w:p w14:paraId="27A0D59D" w14:textId="6572DD7B" w:rsidR="007C4929" w:rsidRPr="00096A22" w:rsidRDefault="004B7736" w:rsidP="004B7736">
      <w:r w:rsidRPr="00096A22">
        <w:lastRenderedPageBreak/>
        <w:t>Another set of suggestions address</w:t>
      </w:r>
      <w:r w:rsidR="00297463">
        <w:t>es</w:t>
      </w:r>
      <w:r w:rsidRPr="00096A22">
        <w:t xml:space="preserve"> broadening the theoretical points of departure from those covered in the review. For example, more sociological work on culture and how it relates to </w:t>
      </w:r>
      <w:r w:rsidR="00987C1A">
        <w:t>Quality of government</w:t>
      </w:r>
      <w:r w:rsidRPr="00096A22">
        <w:t xml:space="preserve"> </w:t>
      </w:r>
      <w:r w:rsidR="007C3F48" w:rsidRPr="00096A22">
        <w:t xml:space="preserve">should be </w:t>
      </w:r>
      <w:r w:rsidR="00297463">
        <w:t>prioriti</w:t>
      </w:r>
      <w:r w:rsidR="00FB01AA">
        <w:t>s</w:t>
      </w:r>
      <w:r w:rsidR="00297463">
        <w:t>ed</w:t>
      </w:r>
      <w:r w:rsidR="007C3F48" w:rsidRPr="00096A22">
        <w:t xml:space="preserve"> for the achievement of a societally transformative sustainability agenda</w:t>
      </w:r>
      <w:r w:rsidRPr="00096A22">
        <w:t xml:space="preserve"> (e.g. Geert Hofstedes’ work</w:t>
      </w:r>
      <w:r w:rsidR="006E6850">
        <w:t xml:space="preserve"> on</w:t>
      </w:r>
      <w:r w:rsidRPr="00096A22">
        <w:t xml:space="preserve"> the dimensions of culture).</w:t>
      </w:r>
      <w:r w:rsidR="004A7123">
        <w:t xml:space="preserve"> </w:t>
      </w:r>
      <w:r w:rsidRPr="00096A22">
        <w:t>T</w:t>
      </w:r>
      <w:r w:rsidR="007C3F48" w:rsidRPr="00096A22">
        <w:t>her</w:t>
      </w:r>
      <w:r w:rsidRPr="00096A22">
        <w:t>e sho</w:t>
      </w:r>
      <w:r w:rsidR="007C3F48" w:rsidRPr="00096A22">
        <w:t>u</w:t>
      </w:r>
      <w:r w:rsidRPr="00096A22">
        <w:t xml:space="preserve">ld </w:t>
      </w:r>
      <w:r w:rsidR="007C3F48" w:rsidRPr="00096A22">
        <w:t xml:space="preserve">also </w:t>
      </w:r>
      <w:r w:rsidRPr="00096A22">
        <w:t xml:space="preserve">be efforts made to </w:t>
      </w:r>
      <w:r w:rsidR="007C3F48" w:rsidRPr="00096A22">
        <w:t>distinguish</w:t>
      </w:r>
      <w:r w:rsidR="007C4929" w:rsidRPr="00096A22">
        <w:t xml:space="preserve"> between the different dimensions of </w:t>
      </w:r>
      <w:r w:rsidR="00987C1A">
        <w:t>Quality of government</w:t>
      </w:r>
      <w:r w:rsidR="007C4929" w:rsidRPr="00096A22">
        <w:t xml:space="preserve"> that researchers </w:t>
      </w:r>
      <w:r w:rsidRPr="00096A22">
        <w:t xml:space="preserve">from different disciplinary and theoretical perspectives </w:t>
      </w:r>
      <w:r w:rsidR="007C4929" w:rsidRPr="00096A22">
        <w:t>see as important. For example</w:t>
      </w:r>
      <w:r w:rsidRPr="00096A22">
        <w:t>,</w:t>
      </w:r>
      <w:r w:rsidR="007C4929" w:rsidRPr="00096A22">
        <w:t xml:space="preserve"> economists tend to emphasise property rights</w:t>
      </w:r>
      <w:r w:rsidR="00297463">
        <w:t>,</w:t>
      </w:r>
      <w:r w:rsidR="007C4929" w:rsidRPr="00096A22">
        <w:t xml:space="preserve"> while political scientists emphasise public administration and rule of law. </w:t>
      </w:r>
      <w:r w:rsidRPr="00096A22">
        <w:t xml:space="preserve">Work on the SDGs that </w:t>
      </w:r>
      <w:r w:rsidR="007C3F48" w:rsidRPr="00096A22">
        <w:t>engages</w:t>
      </w:r>
      <w:r w:rsidRPr="00096A22">
        <w:t xml:space="preserve"> with this broader body of work on </w:t>
      </w:r>
      <w:r w:rsidR="00987C1A">
        <w:t>Quality of government</w:t>
      </w:r>
      <w:r w:rsidRPr="00096A22">
        <w:t xml:space="preserve"> could </w:t>
      </w:r>
      <w:r w:rsidR="007C4929" w:rsidRPr="00096A22">
        <w:t>reflect on</w:t>
      </w:r>
      <w:r w:rsidR="007C3F48" w:rsidRPr="00096A22">
        <w:t>, for example,</w:t>
      </w:r>
      <w:r w:rsidR="007C4929" w:rsidRPr="00096A22">
        <w:t xml:space="preserve"> what types of property rights contribute to </w:t>
      </w:r>
      <w:r w:rsidR="007C3F48" w:rsidRPr="00096A22">
        <w:t>SDG achievement.</w:t>
      </w:r>
      <w:r w:rsidRPr="00096A22">
        <w:t xml:space="preserve"> </w:t>
      </w:r>
      <w:r w:rsidR="007C3F48" w:rsidRPr="00096A22">
        <w:t>Also</w:t>
      </w:r>
      <w:r w:rsidR="00A536D5" w:rsidRPr="00096A22">
        <w:t>,</w:t>
      </w:r>
      <w:r w:rsidR="007C3F48" w:rsidRPr="00096A22">
        <w:t xml:space="preserve"> some </w:t>
      </w:r>
      <w:r w:rsidRPr="00096A22">
        <w:t>reflect</w:t>
      </w:r>
      <w:r w:rsidR="007C3F48" w:rsidRPr="00096A22">
        <w:t>ion</w:t>
      </w:r>
      <w:r w:rsidRPr="00096A22">
        <w:t xml:space="preserve"> on how different</w:t>
      </w:r>
      <w:r w:rsidR="007C4929" w:rsidRPr="00096A22">
        <w:t xml:space="preserve"> dimensions </w:t>
      </w:r>
      <w:r w:rsidRPr="00096A22">
        <w:t xml:space="preserve">of </w:t>
      </w:r>
      <w:r w:rsidR="00987C1A">
        <w:t>Quality of government</w:t>
      </w:r>
      <w:r w:rsidRPr="00096A22">
        <w:t xml:space="preserve"> are </w:t>
      </w:r>
      <w:r w:rsidR="007C4929" w:rsidRPr="00096A22">
        <w:t>relate</w:t>
      </w:r>
      <w:r w:rsidRPr="00096A22">
        <w:t>d</w:t>
      </w:r>
      <w:r w:rsidR="007C4929" w:rsidRPr="00096A22">
        <w:t xml:space="preserve"> to the question of power</w:t>
      </w:r>
      <w:r w:rsidR="007C3F48" w:rsidRPr="00096A22">
        <w:t xml:space="preserve"> seems important given the transformative nature of Agenda 2030</w:t>
      </w:r>
      <w:r w:rsidR="007C4929" w:rsidRPr="00096A22">
        <w:t xml:space="preserve">. </w:t>
      </w:r>
      <w:r w:rsidR="00AF25EA" w:rsidRPr="00096A22">
        <w:tab/>
      </w:r>
    </w:p>
    <w:p w14:paraId="602FB6B5" w14:textId="77777777" w:rsidR="007C4929" w:rsidRPr="00096A22" w:rsidRDefault="007C4929" w:rsidP="00667874"/>
    <w:p w14:paraId="21813352" w14:textId="77777777" w:rsidR="00667874" w:rsidRPr="00096A22" w:rsidRDefault="00667874" w:rsidP="00667874">
      <w:pPr>
        <w:pStyle w:val="Heading1"/>
      </w:pPr>
      <w:bookmarkStart w:id="33" w:name="_Toc529789840"/>
      <w:r w:rsidRPr="00096A22">
        <w:t>Key theme 2: Policy coherence</w:t>
      </w:r>
      <w:bookmarkEnd w:id="33"/>
    </w:p>
    <w:p w14:paraId="749A840A" w14:textId="77777777" w:rsidR="00667874" w:rsidRPr="00096A22" w:rsidRDefault="00667874" w:rsidP="00667874">
      <w:r w:rsidRPr="00096A22">
        <w:t>17.13 and 17.14</w:t>
      </w:r>
    </w:p>
    <w:p w14:paraId="66C856C3" w14:textId="52BB5762" w:rsidR="00863358" w:rsidRPr="00096A22" w:rsidRDefault="00863358" w:rsidP="00863358">
      <w:pPr>
        <w:tabs>
          <w:tab w:val="left" w:pos="2634"/>
        </w:tabs>
      </w:pPr>
      <w:r w:rsidRPr="00096A22">
        <w:t>Target 17.14 calls for enhancing policy coherence for sustainable development. Research that can inform system-wide policy planning is crucial in the context of Agenda 2030</w:t>
      </w:r>
      <w:r w:rsidR="0033555C">
        <w:t>,</w:t>
      </w:r>
      <w:r w:rsidRPr="00096A22">
        <w:t xml:space="preserve"> for which implementation strategies that overlook interdependencies between the indivisible 17 goals will not be fit for purpose. Long-term initiatives for enhancing policy coherence in relation to development and foreign policy have been led by OECD and others. Policy coherence for development has been a topic in development circles for decades, reflected in both EU policy and the Millennium Development Goals</w:t>
      </w:r>
      <w:r w:rsidR="0033555C">
        <w:t xml:space="preserve"> (</w:t>
      </w:r>
      <w:r w:rsidR="0033555C" w:rsidRPr="00096A22">
        <w:t>the SDG predecessor</w:t>
      </w:r>
      <w:r w:rsidR="0033555C">
        <w:t>)</w:t>
      </w:r>
      <w:r w:rsidRPr="00096A22">
        <w:t>. In this context</w:t>
      </w:r>
      <w:r w:rsidR="0033555C">
        <w:t>,</w:t>
      </w:r>
      <w:r w:rsidRPr="00096A22">
        <w:t xml:space="preserve"> policy coherence generally refers to representing the interests of the poorest in policy processes that affect them</w:t>
      </w:r>
      <w:r w:rsidR="0033555C">
        <w:t>;</w:t>
      </w:r>
      <w:r w:rsidRPr="00096A22">
        <w:t xml:space="preserve"> in a wider sense</w:t>
      </w:r>
      <w:r w:rsidR="0033555C">
        <w:t xml:space="preserve">, </w:t>
      </w:r>
      <w:r w:rsidR="0033555C" w:rsidRPr="00096A22">
        <w:t>policy coherence</w:t>
      </w:r>
      <w:r w:rsidRPr="00096A22">
        <w:t xml:space="preserve"> relates to ensuring that </w:t>
      </w:r>
      <w:r w:rsidR="00E8296A">
        <w:t xml:space="preserve">a </w:t>
      </w:r>
      <w:r w:rsidRPr="00096A22">
        <w:t>policy in one area does not undermine policy objectives in another. Assessments of the outcomes and impacts of PCD have been limited in the academic discourse</w:t>
      </w:r>
      <w:r w:rsidR="00E8296A">
        <w:t>,</w:t>
      </w:r>
      <w:r w:rsidRPr="00096A22">
        <w:t xml:space="preserve"> which has largely focused on theoretical and exploratory</w:t>
      </w:r>
      <w:r w:rsidR="00E8296A">
        <w:t xml:space="preserve"> – rather than empirical –</w:t>
      </w:r>
      <w:r w:rsidRPr="00096A22">
        <w:t xml:space="preserve"> analysis</w:t>
      </w:r>
      <w:r w:rsidR="00E8296A">
        <w:t xml:space="preserve"> </w:t>
      </w:r>
      <w:r w:rsidRPr="00096A22">
        <w:fldChar w:fldCharType="begin"/>
      </w:r>
      <w:r w:rsidR="004A7123">
        <w:instrText xml:space="preserve"> ADDIN ZOTERO_ITEM CSL_CITATION {"citationID":"k7LtmQDR","properties":{"formattedCitation":"(Koch 2017)","plainCitation":"(Koch 2017)","noteIndex":0},"citationItems":[{"id":"GGZNlT61/fzNyxRhE","uris":["http://zotero.org/groups/1079892/items/EETGZKMT"],"uri":["http://zotero.org/groups/1079892/items/EETGZKMT"],"itemData":{"id":1153,"type":"article-journal","title":"Measuring long-term trends in policy coherence for development","container-title":"Development Policy Review","page":"87-110","volume":"36","issue":"1","source":"Wiley Online Library","abstract":"This article measures long term trends in policy coherence for development. Based on result chains, it develops a counterfactual methodology, and then applies it to assess changes in inputs, outputs and outcomes over time. While the literature does not indicate any significant change in policy coherence for development over the last decade, this research finds that, if the time scale is lengthened to 50 years, an overall increase in policy coherence for development of the Dutch government, vis-à-vis the DR Congo, in the domains of finance and security, can be detected. These changes in policy coherence for development inputs seem to have contributed, in conjunction with similar policies from other countries, in some instances, to positive outcomes in the DRC.","DOI":"10.1111/dpr.12280","ISSN":"1467-7679","language":"en","author":[{"family":"Koch","given":"Dirk-Jan"}],"issued":{"date-parts":[["2017"]]}}}],"schema":"https://github.com/citation-style-language/schema/raw/master/csl-citation.json"} </w:instrText>
      </w:r>
      <w:r w:rsidRPr="00096A22">
        <w:fldChar w:fldCharType="separate"/>
      </w:r>
      <w:r w:rsidR="004A7123" w:rsidRPr="007344DD">
        <w:rPr>
          <w:rFonts w:ascii="Calibri" w:hAnsi="Calibri" w:cs="Calibri"/>
        </w:rPr>
        <w:t>(Koch 2017)</w:t>
      </w:r>
      <w:r w:rsidRPr="00096A22">
        <w:fldChar w:fldCharType="end"/>
      </w:r>
      <w:r w:rsidRPr="00096A22">
        <w:t>. Research has been focused on horizontal analysis between policies,</w:t>
      </w:r>
      <w:r w:rsidR="00E8296A">
        <w:t xml:space="preserve"> the</w:t>
      </w:r>
      <w:r w:rsidRPr="00096A22">
        <w:t xml:space="preserve"> side</w:t>
      </w:r>
      <w:r w:rsidR="00E8296A">
        <w:t xml:space="preserve"> </w:t>
      </w:r>
      <w:r w:rsidRPr="00096A22">
        <w:t xml:space="preserve">effects </w:t>
      </w:r>
      <w:r w:rsidR="00E8296A">
        <w:t xml:space="preserve">of </w:t>
      </w:r>
      <w:r w:rsidRPr="00096A22">
        <w:t xml:space="preserve">non-aid policy on aid policy, </w:t>
      </w:r>
      <w:r w:rsidR="00E8296A">
        <w:t xml:space="preserve">and the </w:t>
      </w:r>
      <w:r w:rsidRPr="00096A22">
        <w:t>trade-offs between objectives. It has further addressed coherence at different levels</w:t>
      </w:r>
      <w:r w:rsidR="007B4A9C">
        <w:t>,</w:t>
      </w:r>
      <w:r w:rsidRPr="00096A22">
        <w:t xml:space="preserve"> including internal coherence within aid programmes, consistency between aid agencies in different countries, consistency between aid and non-aid polic</w:t>
      </w:r>
      <w:r w:rsidR="009E4ECF">
        <w:t>ies,</w:t>
      </w:r>
      <w:r w:rsidRPr="00096A22">
        <w:t xml:space="preserve"> and consistency between </w:t>
      </w:r>
      <w:r w:rsidR="009E4ECF">
        <w:t xml:space="preserve">aid </w:t>
      </w:r>
      <w:r w:rsidRPr="00096A22">
        <w:t>donor</w:t>
      </w:r>
      <w:r w:rsidR="009E4ECF">
        <w:t>s</w:t>
      </w:r>
      <w:r w:rsidRPr="00096A22">
        <w:t xml:space="preserve"> and recipients </w:t>
      </w:r>
      <w:r w:rsidRPr="00096A22">
        <w:fldChar w:fldCharType="begin"/>
      </w:r>
      <w:r w:rsidR="004A7123">
        <w:instrText xml:space="preserve"> ADDIN ZOTERO_ITEM CSL_CITATION {"citationID":"gmxkzLUc","properties":{"formattedCitation":"(Koch 2017)","plainCitation":"(Koch 2017)","noteIndex":0},"citationItems":[{"id":"GGZNlT61/fzNyxRhE","uris":["http://zotero.org/groups/1079892/items/EETGZKMT"],"uri":["http://zotero.org/groups/1079892/items/EETGZKMT"],"itemData":{"id":1153,"type":"article-journal","title":"Measuring long-term trends in policy coherence for development","container-title":"Development Policy Review","page":"87-110","volume":"36","issue":"1","source":"Wiley Online Library","abstract":"This article measures long term trends in policy coherence for development. Based on result chains, it develops a counterfactual methodology, and then applies it to assess changes in inputs, outputs and outcomes over time. While the literature does not indicate any significant change in policy coherence for development over the last decade, this research finds that, if the time scale is lengthened to 50 years, an overall increase in policy coherence for development of the Dutch government, vis-à-vis the DR Congo, in the domains of finance and security, can be detected. These changes in policy coherence for development inputs seem to have contributed, in conjunction with similar policies from other countries, in some instances, to positive outcomes in the DRC.","DOI":"10.1111/dpr.12280","ISSN":"1467-7679","language":"en","author":[{"family":"Koch","given":"Dirk-Jan"}],"issued":{"date-parts":[["2017"]]}}}],"schema":"https://github.com/citation-style-language/schema/raw/master/csl-citation.json"} </w:instrText>
      </w:r>
      <w:r w:rsidRPr="00096A22">
        <w:fldChar w:fldCharType="separate"/>
      </w:r>
      <w:r w:rsidR="004A7123" w:rsidRPr="007344DD">
        <w:rPr>
          <w:rFonts w:ascii="Calibri" w:hAnsi="Calibri" w:cs="Calibri"/>
        </w:rPr>
        <w:t>(Koch 2017)</w:t>
      </w:r>
      <w:r w:rsidRPr="00096A22">
        <w:fldChar w:fldCharType="end"/>
      </w:r>
      <w:r w:rsidRPr="00096A22">
        <w:t>.</w:t>
      </w:r>
    </w:p>
    <w:p w14:paraId="2EB55CAB" w14:textId="55006C96" w:rsidR="001720AB" w:rsidRPr="00096A22" w:rsidRDefault="00863358" w:rsidP="00863358">
      <w:pPr>
        <w:tabs>
          <w:tab w:val="left" w:pos="2634"/>
        </w:tabs>
      </w:pPr>
      <w:r w:rsidRPr="00096A22">
        <w:t xml:space="preserve">The SDGs have expanded the scope of policy coherence </w:t>
      </w:r>
      <w:r w:rsidR="005131EB">
        <w:t>to</w:t>
      </w:r>
      <w:r w:rsidR="005131EB" w:rsidRPr="00096A22">
        <w:t xml:space="preserve"> </w:t>
      </w:r>
      <w:r w:rsidRPr="00096A22">
        <w:t>includ</w:t>
      </w:r>
      <w:r w:rsidR="005131EB">
        <w:t>e</w:t>
      </w:r>
      <w:r w:rsidRPr="00096A22">
        <w:t xml:space="preserve"> all countries and </w:t>
      </w:r>
      <w:r w:rsidR="005131EB">
        <w:t xml:space="preserve">all dimensions of </w:t>
      </w:r>
      <w:r w:rsidRPr="00096A22">
        <w:t>sustainability</w:t>
      </w:r>
      <w:r w:rsidR="005131EB">
        <w:t>.</w:t>
      </w:r>
      <w:r w:rsidRPr="00096A22">
        <w:t xml:space="preserve"> </w:t>
      </w:r>
      <w:r w:rsidR="005131EB">
        <w:t>T</w:t>
      </w:r>
      <w:r w:rsidRPr="00096A22">
        <w:t xml:space="preserve">his has led to a discussion </w:t>
      </w:r>
      <w:r w:rsidR="005131EB">
        <w:t>about</w:t>
      </w:r>
      <w:r w:rsidRPr="00096A22">
        <w:t xml:space="preserve"> broadening the concept to </w:t>
      </w:r>
      <w:r w:rsidR="005131EB">
        <w:t>“</w:t>
      </w:r>
      <w:r w:rsidRPr="00096A22">
        <w:t>policy coherence for sustainable development</w:t>
      </w:r>
      <w:r w:rsidR="005131EB">
        <w:t>”</w:t>
      </w:r>
      <w:r w:rsidRPr="00096A22">
        <w:t xml:space="preserve"> </w:t>
      </w:r>
      <w:r w:rsidRPr="00096A22">
        <w:fldChar w:fldCharType="begin"/>
      </w:r>
      <w:r w:rsidR="004A7123">
        <w:instrText xml:space="preserve"> ADDIN ZOTERO_ITEM CSL_CITATION {"citationID":"w0vkCBK8","properties":{"formattedCitation":"(Koch 2017)","plainCitation":"(Koch 2017)","noteIndex":0},"citationItems":[{"id":"GGZNlT61/fzNyxRhE","uris":["http://zotero.org/groups/1079892/items/EETGZKMT"],"uri":["http://zotero.org/groups/1079892/items/EETGZKMT"],"itemData":{"id":1153,"type":"article-journal","title":"Measuring long-term trends in policy coherence for development","container-title":"Development Policy Review","page":"87-110","volume":"36","issue":"1","source":"Wiley Online Library","abstract":"This article measures long term trends in policy coherence for development. Based on result chains, it develops a counterfactual methodology, and then applies it to assess changes in inputs, outputs and outcomes over time. While the literature does not indicate any significant change in policy coherence for development over the last decade, this research finds that, if the time scale is lengthened to 50 years, an overall increase in policy coherence for development of the Dutch government, vis-à-vis the DR Congo, in the domains of finance and security, can be detected. These changes in policy coherence for development inputs seem to have contributed, in conjunction with similar policies from other countries, in some instances, to positive outcomes in the DRC.","DOI":"10.1111/dpr.12280","ISSN":"1467-7679","language":"en","author":[{"family":"Koch","given":"Dirk-Jan"}],"issued":{"date-parts":[["2017"]]}}}],"schema":"https://github.com/citation-style-language/schema/raw/master/csl-citation.json"} </w:instrText>
      </w:r>
      <w:r w:rsidRPr="00096A22">
        <w:fldChar w:fldCharType="separate"/>
      </w:r>
      <w:r w:rsidR="004A7123" w:rsidRPr="007344DD">
        <w:rPr>
          <w:rFonts w:ascii="Calibri" w:hAnsi="Calibri" w:cs="Calibri"/>
        </w:rPr>
        <w:t>(Koch 2017)</w:t>
      </w:r>
      <w:r w:rsidRPr="00096A22">
        <w:fldChar w:fldCharType="end"/>
      </w:r>
      <w:r w:rsidRPr="00096A22">
        <w:t xml:space="preserve">. The broadening of policy coherence raises both substantive and procedural issues </w:t>
      </w:r>
      <w:r w:rsidRPr="00096A22">
        <w:fldChar w:fldCharType="begin"/>
      </w:r>
      <w:r w:rsidR="004A7123">
        <w:instrText xml:space="preserve"> ADDIN ZOTERO_ITEM CSL_CITATION {"citationID":"sdWKWdV9","properties":{"formattedCitation":"(Anon n.d.)","plainCitation":"(Anon n.d.)","noteIndex":0},"citationItems":[{"id":"GGZNlT61/qWkTuK43","uris":["http://zotero.org/groups/1079892/items/QEHVJJQT"],"uri":["http://zotero.org/groups/1079892/items/QEHVJJQT"],"itemData":{"id":1161,"type":"webpage","title":"Policy coherence and the 2030 Agenda: Building on the PCD experience","container-title":"ECDPM","URL":"http://ecdpm.org/publications/policy-coherence-2030-agenda/","shortTitle":"Policy coherence and the 2030 Agenda","accessed":{"date-parts":[["2018",5,22]]}}}],"schema":"https://github.com/citation-style-language/schema/raw/master/csl-citation.json"} </w:instrText>
      </w:r>
      <w:r w:rsidRPr="00096A22">
        <w:fldChar w:fldCharType="separate"/>
      </w:r>
      <w:r w:rsidR="004A7123" w:rsidRPr="007344DD">
        <w:rPr>
          <w:rFonts w:ascii="Calibri" w:hAnsi="Calibri" w:cs="Calibri"/>
        </w:rPr>
        <w:t>(Anon n.d.)</w:t>
      </w:r>
      <w:r w:rsidRPr="00096A22">
        <w:fldChar w:fldCharType="end"/>
      </w:r>
      <w:r w:rsidRPr="00096A22">
        <w:t>, as it implies that policy coherence need</w:t>
      </w:r>
      <w:r w:rsidR="00B859DD" w:rsidRPr="00096A22">
        <w:t>s</w:t>
      </w:r>
      <w:r w:rsidRPr="00096A22">
        <w:t xml:space="preserve"> to address not just those dimensions </w:t>
      </w:r>
      <w:r w:rsidR="00B859DD" w:rsidRPr="00096A22">
        <w:t>previously</w:t>
      </w:r>
      <w:r w:rsidRPr="00096A22">
        <w:t xml:space="preserve"> in focus</w:t>
      </w:r>
      <w:r w:rsidR="005131EB">
        <w:t>,</w:t>
      </w:r>
      <w:r w:rsidRPr="00096A22">
        <w:t xml:space="preserve"> but </w:t>
      </w:r>
      <w:r w:rsidR="005131EB">
        <w:t xml:space="preserve">also the </w:t>
      </w:r>
      <w:r w:rsidRPr="00096A22">
        <w:t>consistency between global goals and national contexts; among international agendas and processes; between economic, social and environmental policies; between different sources of finance and other means of implementation; and between the actions of different actors</w:t>
      </w:r>
      <w:r w:rsidR="004A7123">
        <w:t xml:space="preserve"> </w:t>
      </w:r>
      <w:r w:rsidRPr="00096A22">
        <w:fldChar w:fldCharType="begin"/>
      </w:r>
      <w:r w:rsidR="004A7123">
        <w:instrText xml:space="preserve"> ADDIN ZOTERO_ITEM CSL_CITATION {"citationID":"2mZMgp8n","properties":{"formattedCitation":"(ECOSOC 2016)","plainCitation":"(ECOSOC 2016)","noteIndex":0},"citationItems":[{"id":"GGZNlT61/sNwJN1NQ","uris":["http://zotero.org/groups/1079892/items/9ZL4YY5Z"],"uri":["http://zotero.org/groups/1079892/items/9ZL4YY5Z"],"itemData":{"id":1204,"type":"report","title":"New forms of cooperation and increased coherence to implement the SDGs","collection-title":"2016 Development Cooperation Forum Policy Briefs","publisher":"DCF Secretariat, ECOSOC","number":"15","author":[{"literal":"ECOSOC"}],"issued":{"date-parts":[["2016"]]}}}],"schema":"https://github.com/citation-style-language/schema/raw/master/csl-citation.json"} </w:instrText>
      </w:r>
      <w:r w:rsidRPr="00096A22">
        <w:fldChar w:fldCharType="separate"/>
      </w:r>
      <w:r w:rsidR="004A7123" w:rsidRPr="007344DD">
        <w:rPr>
          <w:rFonts w:ascii="Calibri" w:hAnsi="Calibri" w:cs="Calibri"/>
        </w:rPr>
        <w:t>(ECOSOC 2016)</w:t>
      </w:r>
      <w:r w:rsidRPr="00096A22">
        <w:fldChar w:fldCharType="end"/>
      </w:r>
      <w:r w:rsidR="001720AB" w:rsidRPr="00096A22">
        <w:t xml:space="preserve">. </w:t>
      </w:r>
      <w:r w:rsidR="001720AB" w:rsidRPr="00096A22">
        <w:rPr>
          <w:b/>
          <w:i/>
        </w:rPr>
        <w:t xml:space="preserve">In general, there is a need to better understand interactions between SDG goals </w:t>
      </w:r>
      <w:r w:rsidR="005131EB">
        <w:rPr>
          <w:b/>
          <w:i/>
        </w:rPr>
        <w:t>and</w:t>
      </w:r>
      <w:r w:rsidR="001720AB" w:rsidRPr="00096A22">
        <w:rPr>
          <w:b/>
          <w:i/>
        </w:rPr>
        <w:t xml:space="preserve"> targets and how policy can promote positive interactions and mitigate negative </w:t>
      </w:r>
      <w:r w:rsidR="005131EB">
        <w:rPr>
          <w:b/>
          <w:i/>
        </w:rPr>
        <w:lastRenderedPageBreak/>
        <w:t>ones</w:t>
      </w:r>
      <w:r w:rsidR="001720AB" w:rsidRPr="00096A22">
        <w:rPr>
          <w:b/>
          <w:i/>
        </w:rPr>
        <w:t>. Part of the challenge is to improve or develop new analytical tools for characterising and quantifying interactions.</w:t>
      </w:r>
    </w:p>
    <w:p w14:paraId="7EB0E030" w14:textId="59074110" w:rsidR="008B7764" w:rsidRDefault="00863358" w:rsidP="00863358">
      <w:pPr>
        <w:tabs>
          <w:tab w:val="left" w:pos="2634"/>
        </w:tabs>
      </w:pPr>
      <w:r w:rsidRPr="00096A22">
        <w:t>Another way of thinking about PCSD is along three dimensions</w:t>
      </w:r>
      <w:r w:rsidR="008B7764">
        <w:t xml:space="preserve"> </w:t>
      </w:r>
      <w:r w:rsidR="008B7764" w:rsidRPr="003E5945">
        <w:fldChar w:fldCharType="begin"/>
      </w:r>
      <w:r w:rsidR="004A7123">
        <w:instrText xml:space="preserve"> ADDIN ZOTERO_ITEM CSL_CITATION {"citationID":"Fpq9t00c","properties":{"formattedCitation":"(O\\uc0\\u8217{}Connor et al. 2016)","plainCitation":"(O’Connor et al. 2016)","noteIndex":0},"citationItems":[{"id":"GGZNlT61/4X6Z8W1F","uris":["http://zotero.org/groups/1079892/items/44PTZ8G4"],"uri":["http://zotero.org/groups/1079892/items/44PTZ8G4"],"itemData":{"id":1197,"type":"report","title":"Universality, Integration , and policy coherence for sustainable development: early SDG implementation in selected OECD countries","publisher":"World Resources Institute (WRI)","publisher-place":"Washington","genre":"Working Paper","event-place":"Washington","author":[{"family":"O'Connor","given":"D"},{"family":"Mackie","given":"J"},{"family":"Van Esveld","given":"D"},{"family":"Hosek","given":"K"},{"family":"Scholz","given":"I"},{"family":"Weitz","given":"N"}],"issued":{"date-parts":[["2016"]]}}}],"schema":"https://github.com/citation-style-language/schema/raw/master/csl-citation.json"} </w:instrText>
      </w:r>
      <w:r w:rsidR="008B7764" w:rsidRPr="003E5945">
        <w:fldChar w:fldCharType="separate"/>
      </w:r>
      <w:r w:rsidR="004A7123" w:rsidRPr="007344DD">
        <w:rPr>
          <w:rFonts w:ascii="Calibri" w:hAnsi="Calibri" w:cs="Calibri"/>
          <w:szCs w:val="24"/>
        </w:rPr>
        <w:t>(O’Connor et al. 2016)</w:t>
      </w:r>
      <w:r w:rsidR="008B7764" w:rsidRPr="003E5945">
        <w:fldChar w:fldCharType="end"/>
      </w:r>
      <w:r w:rsidR="008B7764">
        <w:t>:</w:t>
      </w:r>
    </w:p>
    <w:p w14:paraId="629589FF" w14:textId="7C2E2738" w:rsidR="008B7764" w:rsidRPr="00C7502D" w:rsidRDefault="008B7764" w:rsidP="007344DD">
      <w:pPr>
        <w:pStyle w:val="ListParagraph"/>
        <w:numPr>
          <w:ilvl w:val="0"/>
          <w:numId w:val="43"/>
        </w:numPr>
        <w:tabs>
          <w:tab w:val="left" w:pos="2634"/>
        </w:tabs>
      </w:pPr>
      <w:r>
        <w:rPr>
          <w:b w:val="0"/>
        </w:rPr>
        <w:t>H</w:t>
      </w:r>
      <w:r w:rsidR="00863358" w:rsidRPr="007344DD">
        <w:rPr>
          <w:b w:val="0"/>
        </w:rPr>
        <w:t>ere and now</w:t>
      </w:r>
      <w:r>
        <w:rPr>
          <w:b w:val="0"/>
        </w:rPr>
        <w:t>,</w:t>
      </w:r>
      <w:r w:rsidR="00863358" w:rsidRPr="007344DD">
        <w:rPr>
          <w:b w:val="0"/>
        </w:rPr>
        <w:t xml:space="preserve"> focusing on domestic </w:t>
      </w:r>
      <w:r w:rsidR="00B859DD" w:rsidRPr="007344DD">
        <w:rPr>
          <w:b w:val="0"/>
        </w:rPr>
        <w:t>polices</w:t>
      </w:r>
      <w:r w:rsidR="00863358" w:rsidRPr="007344DD">
        <w:rPr>
          <w:b w:val="0"/>
        </w:rPr>
        <w:t xml:space="preserve"> and their balancing of social, economic and environmental objectives</w:t>
      </w:r>
    </w:p>
    <w:p w14:paraId="1DDBDF85" w14:textId="749BA5E0" w:rsidR="008B7764" w:rsidRPr="00C7502D" w:rsidRDefault="008B7764" w:rsidP="007344DD">
      <w:pPr>
        <w:pStyle w:val="ListParagraph"/>
        <w:numPr>
          <w:ilvl w:val="0"/>
          <w:numId w:val="43"/>
        </w:numPr>
        <w:tabs>
          <w:tab w:val="left" w:pos="2634"/>
        </w:tabs>
      </w:pPr>
      <w:r>
        <w:rPr>
          <w:b w:val="0"/>
        </w:rPr>
        <w:t>E</w:t>
      </w:r>
      <w:r w:rsidR="00863358" w:rsidRPr="007344DD">
        <w:rPr>
          <w:b w:val="0"/>
        </w:rPr>
        <w:t>lsewhere</w:t>
      </w:r>
      <w:r>
        <w:rPr>
          <w:b w:val="0"/>
        </w:rPr>
        <w:t>,</w:t>
      </w:r>
      <w:r w:rsidR="00863358" w:rsidRPr="007344DD">
        <w:rPr>
          <w:b w:val="0"/>
        </w:rPr>
        <w:t xml:space="preserve"> focusing on the impact of domestic policy on other countries and the global commons</w:t>
      </w:r>
    </w:p>
    <w:p w14:paraId="171AA9AA" w14:textId="6F2A2D9C" w:rsidR="008B7764" w:rsidRPr="00C7502D" w:rsidRDefault="008B7764" w:rsidP="007344DD">
      <w:pPr>
        <w:pStyle w:val="ListParagraph"/>
        <w:numPr>
          <w:ilvl w:val="0"/>
          <w:numId w:val="43"/>
        </w:numPr>
        <w:tabs>
          <w:tab w:val="left" w:pos="2634"/>
        </w:tabs>
      </w:pPr>
      <w:r>
        <w:rPr>
          <w:b w:val="0"/>
        </w:rPr>
        <w:t>L</w:t>
      </w:r>
      <w:r w:rsidR="00863358" w:rsidRPr="007344DD">
        <w:rPr>
          <w:b w:val="0"/>
        </w:rPr>
        <w:t>ater</w:t>
      </w:r>
      <w:r>
        <w:rPr>
          <w:b w:val="0"/>
        </w:rPr>
        <w:t>,</w:t>
      </w:r>
      <w:r w:rsidR="00863358" w:rsidRPr="007344DD">
        <w:rPr>
          <w:b w:val="0"/>
        </w:rPr>
        <w:t xml:space="preserve"> focusing on the impact of today’s policies on tomorrow’s generations</w:t>
      </w:r>
    </w:p>
    <w:p w14:paraId="74EBA902" w14:textId="07A40537" w:rsidR="00863358" w:rsidRPr="00096A22" w:rsidRDefault="00863358" w:rsidP="00863358">
      <w:pPr>
        <w:tabs>
          <w:tab w:val="left" w:pos="2634"/>
        </w:tabs>
      </w:pPr>
      <w:r w:rsidRPr="00096A22">
        <w:t xml:space="preserve">Further, policy coherence for sustainable development should not just seek to do no harm but </w:t>
      </w:r>
      <w:r w:rsidR="008B7764">
        <w:t xml:space="preserve">should also </w:t>
      </w:r>
      <w:r w:rsidRPr="00096A22">
        <w:t xml:space="preserve">actively </w:t>
      </w:r>
      <w:r w:rsidR="00876E1A" w:rsidRPr="00096A22">
        <w:t>pursue</w:t>
      </w:r>
      <w:r w:rsidRPr="00096A22">
        <w:t xml:space="preserve"> positive contributions to development from different policy areas. This broader perspective is increasingly taken into account in research on policy coherence </w:t>
      </w:r>
      <w:r w:rsidRPr="00096A22">
        <w:fldChar w:fldCharType="begin"/>
      </w:r>
      <w:r w:rsidR="004A7123">
        <w:instrText xml:space="preserve"> ADDIN ZOTERO_ITEM CSL_CITATION {"citationID":"u0rIT15l","properties":{"formattedCitation":"(Koch 2017)","plainCitation":"(Koch 2017)","noteIndex":0},"citationItems":[{"id":"GGZNlT61/fzNyxRhE","uris":["http://zotero.org/groups/1079892/items/EETGZKMT"],"uri":["http://zotero.org/groups/1079892/items/EETGZKMT"],"itemData":{"id":1153,"type":"article-journal","title":"Measuring long-term trends in policy coherence for development","container-title":"Development Policy Review","page":"87-110","volume":"36","issue":"1","source":"Wiley Online Library","abstract":"This article measures long term trends in policy coherence for development. Based on result chains, it develops a counterfactual methodology, and then applies it to assess changes in inputs, outputs and outcomes over time. While the literature does not indicate any significant change in policy coherence for development over the last decade, this research finds that, if the time scale is lengthened to 50 years, an overall increase in policy coherence for development of the Dutch government, vis-à-vis the DR Congo, in the domains of finance and security, can be detected. These changes in policy coherence for development inputs seem to have contributed, in conjunction with similar policies from other countries, in some instances, to positive outcomes in the DRC.","DOI":"10.1111/dpr.12280","ISSN":"1467-7679","language":"en","author":[{"family":"Koch","given":"Dirk-Jan"}],"issued":{"date-parts":[["2017"]]}}}],"schema":"https://github.com/citation-style-language/schema/raw/master/csl-citation.json"} </w:instrText>
      </w:r>
      <w:r w:rsidRPr="00096A22">
        <w:fldChar w:fldCharType="separate"/>
      </w:r>
      <w:r w:rsidR="004A7123" w:rsidRPr="007344DD">
        <w:rPr>
          <w:rFonts w:ascii="Calibri" w:hAnsi="Calibri" w:cs="Calibri"/>
        </w:rPr>
        <w:t>(Koch 2017)</w:t>
      </w:r>
      <w:r w:rsidRPr="00096A22">
        <w:fldChar w:fldCharType="end"/>
      </w:r>
      <w:r w:rsidRPr="00096A22">
        <w:t xml:space="preserve">. </w:t>
      </w:r>
      <w:r w:rsidRPr="00096A22">
        <w:rPr>
          <w:b/>
          <w:i/>
        </w:rPr>
        <w:t>A number of challenges are thus present, including that coherence is multidirectional, that there are no universal solution</w:t>
      </w:r>
      <w:r w:rsidR="00876E1A" w:rsidRPr="00096A22">
        <w:rPr>
          <w:b/>
          <w:i/>
        </w:rPr>
        <w:t>s</w:t>
      </w:r>
      <w:r w:rsidR="00E742EC">
        <w:rPr>
          <w:b/>
          <w:i/>
        </w:rPr>
        <w:t>,</w:t>
      </w:r>
      <w:r w:rsidRPr="00096A22">
        <w:rPr>
          <w:b/>
          <w:i/>
        </w:rPr>
        <w:t xml:space="preserve"> and that </w:t>
      </w:r>
      <w:r w:rsidR="00876E1A" w:rsidRPr="00096A22">
        <w:rPr>
          <w:b/>
          <w:i/>
        </w:rPr>
        <w:t>the</w:t>
      </w:r>
      <w:r w:rsidR="00E742EC">
        <w:rPr>
          <w:b/>
          <w:i/>
        </w:rPr>
        <w:t>re are additional</w:t>
      </w:r>
      <w:r w:rsidRPr="00096A22">
        <w:rPr>
          <w:b/>
          <w:i/>
        </w:rPr>
        <w:t xml:space="preserve"> risk</w:t>
      </w:r>
      <w:r w:rsidR="00876E1A" w:rsidRPr="00096A22">
        <w:rPr>
          <w:b/>
          <w:i/>
        </w:rPr>
        <w:t>s</w:t>
      </w:r>
      <w:r w:rsidRPr="00096A22">
        <w:rPr>
          <w:b/>
          <w:i/>
        </w:rPr>
        <w:t xml:space="preserve"> </w:t>
      </w:r>
      <w:r w:rsidR="00876E1A" w:rsidRPr="00096A22">
        <w:rPr>
          <w:b/>
          <w:i/>
        </w:rPr>
        <w:t xml:space="preserve">associated with </w:t>
      </w:r>
      <w:r w:rsidRPr="00096A22">
        <w:rPr>
          <w:b/>
          <w:i/>
        </w:rPr>
        <w:t>add</w:t>
      </w:r>
      <w:r w:rsidR="00E742EC">
        <w:rPr>
          <w:b/>
          <w:i/>
        </w:rPr>
        <w:t>ed</w:t>
      </w:r>
      <w:r w:rsidRPr="00096A22">
        <w:rPr>
          <w:b/>
          <w:i/>
        </w:rPr>
        <w:t xml:space="preserve"> complexity. Measuring policy coherence is another challenge, and data is currently lacking to assess the indicator proposed for target 17.14</w:t>
      </w:r>
      <w:r w:rsidR="00876E1A" w:rsidRPr="00096A22">
        <w:rPr>
          <w:b/>
          <w:i/>
        </w:rPr>
        <w:t>, which is “mechanisms in place to enhance policy coherence of sustainable development”</w:t>
      </w:r>
      <w:r w:rsidRPr="00096A22">
        <w:rPr>
          <w:b/>
          <w:i/>
        </w:rPr>
        <w:t>.</w:t>
      </w:r>
      <w:r w:rsidRPr="00096A22">
        <w:t xml:space="preserve"> Actual research investment on PCD has been minimal </w:t>
      </w:r>
      <w:r w:rsidRPr="00096A22">
        <w:fldChar w:fldCharType="begin"/>
      </w:r>
      <w:r w:rsidR="004A7123">
        <w:instrText xml:space="preserve"> ADDIN ZOTERO_ITEM CSL_CITATION {"citationID":"vlCFv6fd","properties":{"formattedCitation":"(UNCTAD 2015)","plainCitation":"(UNCTAD 2015)","noteIndex":0},"citationItems":[{"id":"GGZNlT61/kclKWgnh","uris":["http://zotero.org/groups/1079892/items/R4URLV9H"],"uri":["http://zotero.org/groups/1079892/items/R4URLV9H"],"itemData":{"id":1202,"type":"report","title":"Investment Policy Framework for Sustainable Development","author":[{"family":"UNCTAD","given":""}],"issued":{"date-parts":[["2015"]]}}}],"schema":"https://github.com/citation-style-language/schema/raw/master/csl-citation.json"} </w:instrText>
      </w:r>
      <w:r w:rsidRPr="00096A22">
        <w:fldChar w:fldCharType="separate"/>
      </w:r>
      <w:r w:rsidR="004A7123" w:rsidRPr="007344DD">
        <w:rPr>
          <w:rFonts w:ascii="Calibri" w:hAnsi="Calibri" w:cs="Calibri"/>
        </w:rPr>
        <w:t>(UNCTAD 2015)</w:t>
      </w:r>
      <w:r w:rsidRPr="00096A22">
        <w:fldChar w:fldCharType="end"/>
      </w:r>
      <w:r w:rsidR="00876E1A" w:rsidRPr="00096A22">
        <w:t>, which means that the importance of</w:t>
      </w:r>
      <w:r w:rsidRPr="00096A22">
        <w:t xml:space="preserve"> PCSD largely rests on an assumption that there is added value to alignment.</w:t>
      </w:r>
      <w:r w:rsidR="004A7123">
        <w:t xml:space="preserve"> </w:t>
      </w:r>
      <w:r w:rsidR="001720AB" w:rsidRPr="00096A22">
        <w:rPr>
          <w:b/>
          <w:i/>
        </w:rPr>
        <w:t>As a result, there is a need for</w:t>
      </w:r>
      <w:r w:rsidR="00CF1F92" w:rsidRPr="00096A22">
        <w:rPr>
          <w:b/>
          <w:i/>
        </w:rPr>
        <w:t xml:space="preserve"> more quantitative research, especially</w:t>
      </w:r>
      <w:r w:rsidR="001720AB" w:rsidRPr="00096A22">
        <w:rPr>
          <w:b/>
          <w:i/>
        </w:rPr>
        <w:t xml:space="preserve"> comparative research</w:t>
      </w:r>
      <w:r w:rsidR="00CF1F92" w:rsidRPr="00096A22">
        <w:rPr>
          <w:b/>
          <w:i/>
        </w:rPr>
        <w:t>,</w:t>
      </w:r>
      <w:r w:rsidR="001720AB" w:rsidRPr="00096A22">
        <w:rPr>
          <w:b/>
          <w:i/>
        </w:rPr>
        <w:t xml:space="preserve"> on policy coherence strategies and tools, to determine which work in different contexts and why.</w:t>
      </w:r>
      <w:r w:rsidR="004A7123">
        <w:rPr>
          <w:b/>
          <w:i/>
        </w:rPr>
        <w:t xml:space="preserve"> </w:t>
      </w:r>
      <w:r w:rsidR="0083532D" w:rsidRPr="00096A22">
        <w:rPr>
          <w:b/>
          <w:i/>
        </w:rPr>
        <w:t>Also, there should be more longitudinal studies examining the effects of policy coherence.</w:t>
      </w:r>
    </w:p>
    <w:p w14:paraId="0FBFB228" w14:textId="443EF18E" w:rsidR="00863358" w:rsidRPr="00096A22" w:rsidRDefault="00863358" w:rsidP="00863358">
      <w:pPr>
        <w:tabs>
          <w:tab w:val="left" w:pos="2634"/>
        </w:tabs>
      </w:pPr>
      <w:r w:rsidRPr="00096A22">
        <w:t xml:space="preserve">Research </w:t>
      </w:r>
      <w:r w:rsidR="00456D52">
        <w:t>has pointed to four important dimensions of the</w:t>
      </w:r>
      <w:r w:rsidRPr="00096A22">
        <w:t xml:space="preserve"> barriers and enabling factors for policy integration and coherence within the government apparatus (Nilsson and Persson, 2017; Runhaar et al, 2018). Fi</w:t>
      </w:r>
      <w:r w:rsidR="00DC5C79" w:rsidRPr="00096A22">
        <w:t>rst, political will is required</w:t>
      </w:r>
      <w:r w:rsidRPr="00096A22">
        <w:t xml:space="preserve"> to send strong normative signals to downstream policy processes</w:t>
      </w:r>
      <w:r w:rsidR="00BD42E3">
        <w:t>,</w:t>
      </w:r>
      <w:r w:rsidRPr="00096A22">
        <w:t xml:space="preserve"> both on the imperative to ensure coherence and </w:t>
      </w:r>
      <w:r w:rsidR="00DC5C79" w:rsidRPr="00096A22">
        <w:t xml:space="preserve">on </w:t>
      </w:r>
      <w:r w:rsidRPr="00096A22">
        <w:t xml:space="preserve">how </w:t>
      </w:r>
      <w:r w:rsidR="00BD42E3">
        <w:t xml:space="preserve">to resolve </w:t>
      </w:r>
      <w:r w:rsidRPr="00096A22">
        <w:t>potential goal conflicts. Second, supporting organisational frameworks are needed, where policy-makers are appropriately incentivised and resourced to seek cross-sectoral solutions. Third, procedures, such as policy impact assessment</w:t>
      </w:r>
      <w:r w:rsidR="00BD42E3">
        <w:t>s</w:t>
      </w:r>
      <w:r w:rsidRPr="00096A22">
        <w:t xml:space="preserve">, can help ensure opportunities to control and steer policy coherence. Finally, there is an important cognitive dimension, in that analytical skills and continuous learning is needed to tackle complex problems system-wide. Analyses of contexts characterised by governance rather than government (i.e., multiple actors steering themselves and each other) suggest that leadership is important (Karlsson-Vinkhuyzen et al., 2018). </w:t>
      </w:r>
      <w:r w:rsidRPr="00096A22">
        <w:rPr>
          <w:b/>
          <w:i/>
        </w:rPr>
        <w:t>Overall, this line of research suggest that more comparative research is needed on successful strategies and tools for ensuring policy coherence. This includes organi</w:t>
      </w:r>
      <w:r w:rsidR="00A93CCB">
        <w:rPr>
          <w:b/>
          <w:i/>
        </w:rPr>
        <w:t>s</w:t>
      </w:r>
      <w:r w:rsidRPr="00096A22">
        <w:rPr>
          <w:b/>
          <w:i/>
        </w:rPr>
        <w:t xml:space="preserve">ational models which incentivise the pursuit of policy coherence. </w:t>
      </w:r>
      <w:r w:rsidRPr="00096A22">
        <w:t>The OECD (2017) has stressed that enhancing policy coherence in SDG implementation requires</w:t>
      </w:r>
      <w:r w:rsidR="00BD42E3">
        <w:t>:</w:t>
      </w:r>
      <w:r w:rsidRPr="00096A22">
        <w:t xml:space="preserve"> political commitment and leadership; integrated approaches to implementation; an intergenerational timeframe; analyses and assessment of potential policy effects; policy and institutional coordination; local and regional involvement; stakeholder participation; and monitoring and reporting. Challenges include balanc</w:t>
      </w:r>
      <w:r w:rsidR="00BD42E3">
        <w:t>ing</w:t>
      </w:r>
      <w:r w:rsidRPr="00096A22">
        <w:t xml:space="preserve"> an integrated approach with the need to prioriti</w:t>
      </w:r>
      <w:r w:rsidR="00FB01AA">
        <w:t>s</w:t>
      </w:r>
      <w:r w:rsidRPr="00096A22">
        <w:t>e action</w:t>
      </w:r>
      <w:r w:rsidR="00BD42E3">
        <w:t>,</w:t>
      </w:r>
      <w:r w:rsidRPr="00096A22">
        <w:t xml:space="preserve"> avoid</w:t>
      </w:r>
      <w:r w:rsidR="00BD42E3">
        <w:t>ing</w:t>
      </w:r>
      <w:r w:rsidRPr="00096A22">
        <w:t xml:space="preserve"> unintended consequences </w:t>
      </w:r>
      <w:r w:rsidR="00BD42E3">
        <w:t>(</w:t>
      </w:r>
      <w:r w:rsidRPr="00096A22">
        <w:t>such as global impacts of internal action</w:t>
      </w:r>
      <w:r w:rsidR="00BD42E3">
        <w:t>),</w:t>
      </w:r>
      <w:r w:rsidRPr="00096A22">
        <w:t xml:space="preserve"> and ensuring</w:t>
      </w:r>
      <w:r w:rsidR="00BD42E3">
        <w:t xml:space="preserve"> the</w:t>
      </w:r>
      <w:r w:rsidRPr="00096A22">
        <w:t xml:space="preserve"> effective involvement</w:t>
      </w:r>
      <w:r w:rsidR="00BD42E3">
        <w:t xml:space="preserve"> and </w:t>
      </w:r>
      <w:r w:rsidR="00BD42E3" w:rsidRPr="00096A22">
        <w:t>long-term commitment</w:t>
      </w:r>
      <w:r w:rsidRPr="00096A22">
        <w:t xml:space="preserve"> of stakeholders </w:t>
      </w:r>
      <w:r w:rsidRPr="00096A22">
        <w:fldChar w:fldCharType="begin"/>
      </w:r>
      <w:r w:rsidR="004A7123">
        <w:instrText xml:space="preserve"> ADDIN ZOTERO_ITEM CSL_CITATION {"citationID":"1oyU1N1g","properties":{"formattedCitation":"(OECD 2016)","plainCitation":"(OECD 2016)","noteIndex":0},"citationItems":[{"id":"GGZNlT61/FoF9YcuP","uris":["http://zotero.org/groups/1079892/items/4T4PW6GM"],"uri":["http://zotero.org/groups/1079892/items/4T4PW6GM"],"itemData":{"id":567,"type":"report","title":"Better Policies for Sustainable Development 2016: A New Framework for Policy Coherence","publisher":"Organisation for Economic Co-operation and Development","publisher-place":"Paris","event-place":"Paris","URL":"http://www.oecd.org/greengrowth/better-policies-for-sustainable-development-2016-9789264256996-en.htm","author":[{"literal":"OECD"}],"issued":{"date-parts":[["2016"]]}}}],"schema":"https://github.com/citation-style-language/schema/raw/master/csl-citation.json"} </w:instrText>
      </w:r>
      <w:r w:rsidRPr="00096A22">
        <w:fldChar w:fldCharType="separate"/>
      </w:r>
      <w:r w:rsidR="004A7123" w:rsidRPr="007344DD">
        <w:rPr>
          <w:rFonts w:ascii="Calibri" w:hAnsi="Calibri" w:cs="Calibri"/>
        </w:rPr>
        <w:t>(OECD 2016)</w:t>
      </w:r>
      <w:r w:rsidRPr="00096A22">
        <w:fldChar w:fldCharType="end"/>
      </w:r>
    </w:p>
    <w:p w14:paraId="482268E5" w14:textId="0FBF9A68" w:rsidR="00863358" w:rsidRPr="00096A22" w:rsidRDefault="00863358" w:rsidP="00863358">
      <w:pPr>
        <w:tabs>
          <w:tab w:val="left" w:pos="2634"/>
        </w:tabs>
      </w:pPr>
      <w:r w:rsidRPr="00096A22">
        <w:lastRenderedPageBreak/>
        <w:t xml:space="preserve">Regarding the cognitive dimension, a number of analytical tools and models have been launched to understand interactions between SDGs, in order to provide a diagnosis for future efforts for policy coherence and system-wide policy planning (e.g. </w:t>
      </w:r>
      <w:r w:rsidRPr="00096A22">
        <w:fldChar w:fldCharType="begin"/>
      </w:r>
      <w:r w:rsidR="004A7123">
        <w:instrText xml:space="preserve"> ADDIN ZOTERO_ITEM CSL_CITATION {"citationID":"KQBwTPhq","properties":{"formattedCitation":"(Weitz, Carlsen, et al. 2017)","plainCitation":"(Weitz, Carlsen, et al. 2017)","noteIndex":0},"citationItems":[{"id":"GGZNlT61/R6FiOPBb","uris":["http://zotero.org/groups/1079892/items/5KYEGXC8"],"uri":["http://zotero.org/groups/1079892/items/5KYEGXC8"],"itemData":{"id":293,"type":"article-journal","title":"Towards systemic and contextual priority setting for implementing the 2030 Agenda","container-title":"Sustainability Science","source":"CrossRef","URL":"http://link.springer.com/10.1007/s11625-017-0470-0","DOI":"10.1007/s11625-017-0470-0","ISSN":"1862-4065, 1862-4057","language":"en","author":[{"family":"Weitz","given":"Nina"},{"family":"Carlsen","given":"Henrik"},{"family":"Nilsson","given":"Måns"},{"family":"Skånberg","given":"Kristian"}],"issued":{"date-parts":[["2017",9,12]]},"accessed":{"date-parts":[["2018",2,13]]}}}],"schema":"https://github.com/citation-style-language/schema/raw/master/csl-citation.json"} </w:instrText>
      </w:r>
      <w:r w:rsidRPr="00096A22">
        <w:fldChar w:fldCharType="separate"/>
      </w:r>
      <w:r w:rsidR="004A7123" w:rsidRPr="007344DD">
        <w:rPr>
          <w:rFonts w:ascii="Calibri" w:hAnsi="Calibri" w:cs="Calibri"/>
        </w:rPr>
        <w:t>(Weitz, Carlsen, et al. 2017)</w:t>
      </w:r>
      <w:r w:rsidRPr="00096A22">
        <w:fldChar w:fldCharType="end"/>
      </w:r>
      <w:r w:rsidRPr="00096A22">
        <w:t xml:space="preserve"> </w:t>
      </w:r>
      <w:r w:rsidRPr="00096A22">
        <w:fldChar w:fldCharType="begin"/>
      </w:r>
      <w:r w:rsidR="004A7123">
        <w:instrText xml:space="preserve"> ADDIN ZOTERO_ITEM CSL_CITATION {"citationID":"Y4YvbBVP","properties":{"formattedCitation":"(Collste, Pedercini, and Cornell 2017)","plainCitation":"(Collste, Pedercini, and Cornell 2017)","dontUpdate":true,"noteIndex":0},"citationItems":[{"id":"GGZNlT61/LrO4bhUV","uris":["http://zotero.org/groups/1079892/items/MWRVS785"],"uri":["http://zotero.org/groups/1079892/items/MWRVS785"],"itemData":{"id":1152,"type":"article-journal","title":"Policy coherence to achieve the SDGs: using integrated simulation models to assess effective policies","container-title":"Sustainability Science","page":"921-931","volume":"12","issue":"6","source":"link-springer-com.ezp.sub.su.se","abstract":"Coherently addressing the 17 Sustainable Development Goals requires planning tools that guide policy makers. Given the integrative nature of the SDGs, we believe that integrative modelling techniques are especially useful for this purpose. In this paper, we present and demonstrate the use of the new System Dynamics based iSDG family of models. We use a national model for Tanzania to analyse impacts of substantial investments in photovoltaic capacity. Our focus is on the impacts on three SDGs: SDG 3 on healthy lives and well-being, SDG 4 on education, and SDG 7 on energy. In our simulations, the investments in photovoltaics positively affect life expectancy, years of schooling and access to electricity. More importantly, the progress on these dimensions synergizes and leads to broader system-wide impacts. While this one national example illustrates the anticipated impact of an intervention in one specific area on several SDGs, the iSDG model can be used to support similar analyses for policies related to all the 17 SDGs, both individually and concurrently. We believe that integrated models such as the iSDG model can bring interlinks to the forefront and facilitate a shift to a discussion on development grounded in systems thinking.","DOI":"10.1007/s11625-017-0457-x","ISSN":"1862-4065, 1862-4057","shortTitle":"Policy coherence to achieve the SDGs","journalAbbreviation":"Sustain Sci","language":"en","author":[{"family":"Collste","given":"David"},{"family":"Pedercini","given":"Matteo"},{"family":"Cornell","given":"Sarah E."}],"issued":{"date-parts":[["2017",11,1]]}}}],"schema":"https://github.com/citation-style-language/schema/raw/master/csl-citation.json"} </w:instrText>
      </w:r>
      <w:r w:rsidRPr="00096A22">
        <w:fldChar w:fldCharType="separate"/>
      </w:r>
      <w:r w:rsidRPr="00096A22">
        <w:t>Collste, Pedercini, and Cornell 2017)</w:t>
      </w:r>
      <w:r w:rsidRPr="00096A22">
        <w:fldChar w:fldCharType="end"/>
      </w:r>
      <w:r w:rsidRPr="00096A22">
        <w:t xml:space="preserve">. </w:t>
      </w:r>
      <w:r w:rsidR="008F186A" w:rsidRPr="00096A22">
        <w:rPr>
          <w:b/>
          <w:i/>
        </w:rPr>
        <w:t>T</w:t>
      </w:r>
      <w:r w:rsidRPr="00096A22">
        <w:rPr>
          <w:b/>
          <w:i/>
        </w:rPr>
        <w:t>hese tools emphasise a number of limitations, and</w:t>
      </w:r>
      <w:r w:rsidR="008F186A" w:rsidRPr="00096A22">
        <w:rPr>
          <w:b/>
          <w:i/>
        </w:rPr>
        <w:t>, as noted above,</w:t>
      </w:r>
      <w:r w:rsidRPr="00096A22">
        <w:rPr>
          <w:b/>
          <w:i/>
        </w:rPr>
        <w:t xml:space="preserve"> further research on methods and assumptions is </w:t>
      </w:r>
      <w:r w:rsidR="00B311BF">
        <w:rPr>
          <w:b/>
          <w:i/>
        </w:rPr>
        <w:t>needed</w:t>
      </w:r>
      <w:r w:rsidRPr="00096A22">
        <w:rPr>
          <w:b/>
          <w:i/>
        </w:rPr>
        <w:t>.</w:t>
      </w:r>
    </w:p>
    <w:p w14:paraId="6B1EF427" w14:textId="64B89116" w:rsidR="00863358" w:rsidRPr="00096A22" w:rsidRDefault="00863358" w:rsidP="00863358">
      <w:pPr>
        <w:tabs>
          <w:tab w:val="left" w:pos="2634"/>
        </w:tabs>
      </w:pPr>
      <w:r w:rsidRPr="00096A22">
        <w:t>A number of related theoretical perspectives address issues of policy coherence or integrated governance more broadly. These include environmental policy integration, inter-organi</w:t>
      </w:r>
      <w:r w:rsidR="00A93CCB">
        <w:t>s</w:t>
      </w:r>
      <w:r w:rsidRPr="00096A22">
        <w:t>ational relations, institutional interaction and management, policy mixes and smart regulation, groups of regimes</w:t>
      </w:r>
      <w:r w:rsidR="00206C31">
        <w:t>,</w:t>
      </w:r>
      <w:r w:rsidRPr="00096A22">
        <w:t xml:space="preserve"> and meta</w:t>
      </w:r>
      <w:r w:rsidR="00FB01AA">
        <w:t>-</w:t>
      </w:r>
      <w:r w:rsidRPr="00096A22">
        <w:t xml:space="preserve">governance and orchestration </w:t>
      </w:r>
      <w:r w:rsidRPr="00096A22">
        <w:fldChar w:fldCharType="begin"/>
      </w:r>
      <w:r w:rsidR="004A7123">
        <w:instrText xml:space="preserve"> ADDIN ZOTERO_ITEM CSL_CITATION {"citationID":"Ok0noS1l","properties":{"formattedCitation":"(Visseren-Hamakers 2015)","plainCitation":"(Visseren-Hamakers 2015)","noteIndex":0},"citationItems":[{"id":"GGZNlT61/PAbRDH1Y","uris":["http://zotero.org/users/1141558/items/6NHFN48W"],"uri":["http://zotero.org/users/1141558/items/6NHFN48W"],"itemData":{"id":67,"type":"article-journal","title":"Integrative environmental governance: enhancing governance in the era of synergies","container-title":"Current Opinion in Environmental Sustainability","collection-title":"Open Issue","page":"136-143","volume":"14","source":"ScienceDirect","abstract":"The issue of regime complexity in global environmental governance is widely recognized. The academic debate on regime fragmentation has itself however been rather fragmented, with discussions circling around different concepts, including inter-organizational relations, polycentric governance, integrated management, landscape governance, environmental policy integration, coordination, mainstreaming, coherence, policy mixes, governance architectures and systems, regime complexes, institutional interaction, metagovernance and the nexus approach. Moreover, the topic of relationships between different policies is also discussed among practitioners, where the call for synergies is increasingly heard. This article brings together these discussions under the common heading of integrative environmental governance (IEG). The article provides a literature review, and argues for an IEG perspective in which the relationships between governance instruments take center stage.","DOI":"10.1016/j.cosust.2015.05.008","ISSN":"1877-3435","shortTitle":"Integrative environmental governance","journalAbbreviation":"Current Opinion in Environmental Sustainability","author":[{"family":"Visseren-Hamakers","given":"Ingrid J"}],"issued":{"date-parts":[["2015",6]]}}}],"schema":"https://github.com/citation-style-language/schema/raw/master/csl-citation.json"} </w:instrText>
      </w:r>
      <w:r w:rsidRPr="00096A22">
        <w:fldChar w:fldCharType="separate"/>
      </w:r>
      <w:r w:rsidR="004A7123" w:rsidRPr="007344DD">
        <w:rPr>
          <w:rFonts w:ascii="Calibri" w:hAnsi="Calibri" w:cs="Calibri"/>
        </w:rPr>
        <w:t>(Visseren-Hamakers 2015)</w:t>
      </w:r>
      <w:r w:rsidRPr="00096A22">
        <w:fldChar w:fldCharType="end"/>
      </w:r>
      <w:r w:rsidRPr="00096A22">
        <w:t>. These perspectives shed light on</w:t>
      </w:r>
      <w:r w:rsidR="002627D5">
        <w:t>:</w:t>
      </w:r>
      <w:r w:rsidRPr="00096A22">
        <w:t xml:space="preserve"> horizontal, vertical and policy-to-implementation coherence</w:t>
      </w:r>
      <w:r w:rsidR="002627D5">
        <w:t>;</w:t>
      </w:r>
      <w:r w:rsidRPr="00096A22">
        <w:t xml:space="preserve"> relationships between different organi</w:t>
      </w:r>
      <w:r w:rsidR="00A93CCB">
        <w:t>s</w:t>
      </w:r>
      <w:r w:rsidRPr="00096A22">
        <w:t>ation</w:t>
      </w:r>
      <w:r w:rsidR="002627D5">
        <w:t>s</w:t>
      </w:r>
      <w:r w:rsidRPr="00096A22">
        <w:t xml:space="preserve"> and what they mean for policy</w:t>
      </w:r>
      <w:r w:rsidR="002627D5">
        <w:t>;</w:t>
      </w:r>
      <w:r w:rsidRPr="00096A22">
        <w:t xml:space="preserve"> how institutional effectiveness is influenced by its relation to other institutions and </w:t>
      </w:r>
      <w:r w:rsidR="002627D5">
        <w:t xml:space="preserve">various </w:t>
      </w:r>
      <w:r w:rsidRPr="00096A22">
        <w:t>interactions</w:t>
      </w:r>
      <w:r w:rsidR="002627D5">
        <w:t>;</w:t>
      </w:r>
      <w:r w:rsidRPr="00096A22">
        <w:t xml:space="preserve"> whether policy instruments are complementary or counterproductive</w:t>
      </w:r>
      <w:r w:rsidR="002627D5">
        <w:t>;</w:t>
      </w:r>
      <w:r w:rsidRPr="00096A22">
        <w:t xml:space="preserve"> and potential costs of coherence and policy integration </w:t>
      </w:r>
      <w:r w:rsidRPr="00096A22">
        <w:fldChar w:fldCharType="begin"/>
      </w:r>
      <w:r w:rsidR="004A7123">
        <w:instrText xml:space="preserve"> ADDIN ZOTERO_ITEM CSL_CITATION {"citationID":"EG4ZwQuk","properties":{"formattedCitation":"(Weitz, Strambo, et al. 2017)","plainCitation":"(Weitz, Strambo, et al. 2017)","dontUpdate":true,"noteIndex":0},"citationItems":[{"id":"GGZNlT61/ZgnHr5Zk","uris":["http://zotero.org/groups/1079892/items/BN2M3NRD"],"uri":["http://zotero.org/groups/1079892/items/BN2M3NRD"],"itemData":{"id":1195,"type":"article-journal","title":"Closing the governance gaps in the water-energy-food nexus: Insights from integrative governance","container-title":"Global Environmental Change","page":"165-173","volume":"45","source":"ScienceDirect","abstract":"The water-energy-food nexus has become a popular concept in environmental change research and policy debates. Proponents suggest that a nexus approach promotes policy coherence through identifying optimal policy mixes and governance arrangements across the water, energy and food sectors. Although the nexus literature identifies some barriers to achieving coherence it does not clearly explain why the barriers are present, what influences them, and how they can be acted upon. These gaps disconnect the nexus literature from the governance processes it ultimately seeks to influence. This paper examines how the integrative environmental governance literature can help to close these gaps. It extracts insights from seven streams of research literature and discusses their relevance for the nexus literature. We argue that connecting the nexus to decision-making processes requires: i) rethinking the boundaries of nexus analysis vis-à-vis other sectors and levels; ii) elaboration of shared principles that can guide decision-making towards policy coherence − or an appropriate form of fragmentation − in different contexts; iii) viewing policy coherence as a continuous process of changing values and perception rather than as an outcome.","DOI":"10.1016/j.gloenvcha.2017.06.006","ISSN":"0959-3780","shortTitle":"Closing the governance gaps in the water-energy-food nexus","journalAbbreviation":"Global Environmental Change","author":[{"family":"Weitz","given":"Nina"},{"family":"Strambo","given":"Claudia"},{"family":"Kemp-Benedict","given":"Eric"},{"family":"Nilsson","given":"Måns"}],"issued":{"date-parts":[["2017",7,1]]}}}],"schema":"https://github.com/citation-style-language/schema/raw/master/csl-citation.json"} </w:instrText>
      </w:r>
      <w:r w:rsidRPr="00096A22">
        <w:fldChar w:fldCharType="separate"/>
      </w:r>
      <w:r w:rsidRPr="00096A22">
        <w:t>(Weitz, Strambo, et al. 2017)</w:t>
      </w:r>
      <w:r w:rsidRPr="00096A22">
        <w:fldChar w:fldCharType="end"/>
      </w:r>
      <w:r w:rsidRPr="00096A22">
        <w:t>. Some of these perspectives highlight that policy coherence is not void of politics and negotiation</w:t>
      </w:r>
      <w:r w:rsidR="002627D5">
        <w:t>s</w:t>
      </w:r>
      <w:r w:rsidRPr="00096A22">
        <w:t xml:space="preserve"> between multiple interests, which may</w:t>
      </w:r>
      <w:r w:rsidR="002627D5">
        <w:t xml:space="preserve"> partly</w:t>
      </w:r>
      <w:r w:rsidRPr="00096A22">
        <w:t xml:space="preserve"> explain the lack of progress in policy coherence for development. </w:t>
      </w:r>
      <w:r w:rsidR="008F186A" w:rsidRPr="00096A22">
        <w:rPr>
          <w:b/>
          <w:i/>
        </w:rPr>
        <w:t>This highlights th</w:t>
      </w:r>
      <w:r w:rsidR="002627D5">
        <w:rPr>
          <w:b/>
          <w:i/>
        </w:rPr>
        <w:t>e</w:t>
      </w:r>
      <w:r w:rsidR="008F186A" w:rsidRPr="00096A22">
        <w:rPr>
          <w:b/>
          <w:i/>
        </w:rPr>
        <w:t xml:space="preserve"> need for researche</w:t>
      </w:r>
      <w:r w:rsidR="002627D5">
        <w:rPr>
          <w:b/>
          <w:i/>
        </w:rPr>
        <w:t>r</w:t>
      </w:r>
      <w:r w:rsidR="008F186A" w:rsidRPr="00096A22">
        <w:rPr>
          <w:b/>
          <w:i/>
        </w:rPr>
        <w:t>s to also investigate cases of policy incoherence, to identify sources of resistance to policy coherence.</w:t>
      </w:r>
      <w:r w:rsidR="008F186A" w:rsidRPr="00096A22">
        <w:t xml:space="preserve"> </w:t>
      </w:r>
      <w:r w:rsidRPr="00096A22">
        <w:t>Additional traditions of integrated policy</w:t>
      </w:r>
      <w:r w:rsidR="002627D5">
        <w:t>-</w:t>
      </w:r>
      <w:r w:rsidRPr="00096A22">
        <w:t>making besides PCD include issue-based mainstreamin</w:t>
      </w:r>
      <w:r w:rsidR="008F186A" w:rsidRPr="00096A22">
        <w:t>g</w:t>
      </w:r>
      <w:r w:rsidR="002627D5">
        <w:t>,</w:t>
      </w:r>
      <w:r w:rsidRPr="00096A22">
        <w:t xml:space="preserve"> multi-sectoral approaches</w:t>
      </w:r>
      <w:r w:rsidR="002627D5">
        <w:t>, and</w:t>
      </w:r>
      <w:r w:rsidRPr="00096A22">
        <w:t xml:space="preserve"> collective responsibility approaches </w:t>
      </w:r>
      <w:r w:rsidRPr="00096A22">
        <w:fldChar w:fldCharType="begin"/>
      </w:r>
      <w:r w:rsidR="004A7123">
        <w:instrText xml:space="preserve"> ADDIN ZOTERO_ITEM CSL_CITATION {"citationID":"tsQtHW2A","properties":{"formattedCitation":"(Anon n.d.)","plainCitation":"(Anon n.d.)","noteIndex":0},"citationItems":[{"id":"GGZNlT61/qWkTuK43","uris":["http://zotero.org/groups/1079892/items/QEHVJJQT"],"uri":["http://zotero.org/groups/1079892/items/QEHVJJQT"],"itemData":{"id":1161,"type":"webpage","title":"Policy coherence and the 2030 Agenda: Building on the PCD experience","container-title":"ECDPM","URL":"http://ecdpm.org/publications/policy-coherence-2030-agenda/","shortTitle":"Policy coherence and the 2030 Agenda","accessed":{"date-parts":[["2018",5,22]]}}}],"schema":"https://github.com/citation-style-language/schema/raw/master/csl-citation.json"} </w:instrText>
      </w:r>
      <w:r w:rsidRPr="00096A22">
        <w:fldChar w:fldCharType="separate"/>
      </w:r>
      <w:r w:rsidR="004A7123" w:rsidRPr="007344DD">
        <w:rPr>
          <w:rFonts w:ascii="Calibri" w:hAnsi="Calibri" w:cs="Calibri"/>
        </w:rPr>
        <w:t>(Anon n.d.)</w:t>
      </w:r>
      <w:r w:rsidRPr="00096A22">
        <w:fldChar w:fldCharType="end"/>
      </w:r>
      <w:r w:rsidRPr="00096A22">
        <w:t>.</w:t>
      </w:r>
    </w:p>
    <w:p w14:paraId="1D8969A4" w14:textId="21F1273E" w:rsidR="00C75623" w:rsidRPr="00096A22" w:rsidRDefault="00863358" w:rsidP="00C75623">
      <w:pPr>
        <w:tabs>
          <w:tab w:val="left" w:pos="2634"/>
        </w:tabs>
      </w:pPr>
      <w:r w:rsidRPr="00096A22">
        <w:t>Policy coherence as a tool to enhance global macroeconomic stability is addressed under SDG 17.13. Global macroeconomic instability has increased in recent decades due to weak stabili</w:t>
      </w:r>
      <w:r w:rsidR="00FB01AA">
        <w:t>s</w:t>
      </w:r>
      <w:r w:rsidRPr="00096A22">
        <w:t xml:space="preserve">ing factors like regulation, public investment and sustained increase in labour incomes. The global economy lacks tools to address these factors and their effects. </w:t>
      </w:r>
      <w:r w:rsidR="004718FA">
        <w:t>For</w:t>
      </w:r>
      <w:r w:rsidRPr="00096A22">
        <w:t xml:space="preserve"> developing countries</w:t>
      </w:r>
      <w:r w:rsidR="004718FA">
        <w:t>,</w:t>
      </w:r>
      <w:r w:rsidRPr="00096A22">
        <w:t xml:space="preserve"> two important sources of macroeconomic instability are volatile international capital flows and international commodity prices. In line with this, the Addis Agenda notes that “regulatory gaps and misaligned incentives continue to pose risks to financial stability, including spillover effects of financial crises to developing countries.” </w:t>
      </w:r>
      <w:r w:rsidRPr="00096A22">
        <w:fldChar w:fldCharType="begin"/>
      </w:r>
      <w:r w:rsidR="004A7123">
        <w:instrText xml:space="preserve"> ADDIN ZOTERO_ITEM CSL_CITATION {"citationID":"eR21ngWc","properties":{"formattedCitation":"(UN 2015)","plainCitation":"(UN 2015)","noteIndex":0},"citationItems":[{"id":"GGZNlT61/oNjUqCBl","uris":["http://zotero.org/groups/1079892/items/67ZUFGNV"],"uri":["http://zotero.org/groups/1079892/items/67ZUFGNV"],"itemData":{"id":1156,"type":"report","title":"Addis Ababa Action Agenda of the Third International Conference on Financing for Development","URL":"https://sustainabledevelopment.un.org/content/documents/2051AAAA_Outcome.pdf","author":[{"family":"UN","given":""}],"issued":{"date-parts":[["2015"]]}}}],"schema":"https://github.com/citation-style-language/schema/raw/master/csl-citation.json"} </w:instrText>
      </w:r>
      <w:r w:rsidRPr="00096A22">
        <w:fldChar w:fldCharType="separate"/>
      </w:r>
      <w:r w:rsidR="004A7123" w:rsidRPr="007344DD">
        <w:rPr>
          <w:rFonts w:ascii="Calibri" w:hAnsi="Calibri" w:cs="Calibri"/>
        </w:rPr>
        <w:t>(UN 2015)</w:t>
      </w:r>
      <w:r w:rsidRPr="00096A22">
        <w:fldChar w:fldCharType="end"/>
      </w:r>
      <w:r w:rsidRPr="00096A22">
        <w:t xml:space="preserve">. For the EU, </w:t>
      </w:r>
      <w:r w:rsidR="004718FA">
        <w:t>t</w:t>
      </w:r>
      <w:r w:rsidRPr="00096A22">
        <w:t>he Maastricht Treaty defines macroeconomic stability as comprising four criteria</w:t>
      </w:r>
      <w:r w:rsidR="004718FA">
        <w:t>:</w:t>
      </w:r>
      <w:r w:rsidRPr="00096A22">
        <w:t xml:space="preserve"> low and stable inflation</w:t>
      </w:r>
      <w:r w:rsidR="004718FA">
        <w:t>;</w:t>
      </w:r>
      <w:r w:rsidRPr="00096A22">
        <w:t xml:space="preserve"> low long-term interest rates</w:t>
      </w:r>
      <w:r w:rsidR="004718FA">
        <w:t>;</w:t>
      </w:r>
      <w:r w:rsidRPr="00096A22">
        <w:t xml:space="preserve"> low national debt relative to GDP; and currency stability. Price inflation, GDP growth, unemployment, account volatility, health of government finance, interest rate volatility</w:t>
      </w:r>
      <w:r w:rsidR="004718FA">
        <w:t>,</w:t>
      </w:r>
      <w:r w:rsidRPr="00096A22">
        <w:t xml:space="preserve"> and exchange rate stability are often </w:t>
      </w:r>
      <w:r w:rsidR="004718FA">
        <w:t>considered</w:t>
      </w:r>
      <w:r w:rsidRPr="00096A22">
        <w:t xml:space="preserve"> to identify macroeconomic imbalances at the national level. The EU has further adopted a scoreboard </w:t>
      </w:r>
      <w:r w:rsidR="007B31D3">
        <w:t xml:space="preserve">that </w:t>
      </w:r>
      <w:r w:rsidRPr="00096A22">
        <w:t>includ</w:t>
      </w:r>
      <w:r w:rsidR="007B31D3">
        <w:t>es</w:t>
      </w:r>
      <w:r w:rsidRPr="00096A22">
        <w:t xml:space="preserve"> a number of indicators </w:t>
      </w:r>
      <w:r w:rsidR="007B31D3" w:rsidRPr="00096A22">
        <w:t>relat</w:t>
      </w:r>
      <w:r w:rsidR="007B31D3">
        <w:t>ed</w:t>
      </w:r>
      <w:r w:rsidR="007B31D3" w:rsidRPr="00096A22">
        <w:t xml:space="preserve"> </w:t>
      </w:r>
      <w:r w:rsidRPr="00096A22">
        <w:t>to market share, private sector debt, hous</w:t>
      </w:r>
      <w:r w:rsidR="004718FA">
        <w:t>ing</w:t>
      </w:r>
      <w:r w:rsidRPr="00096A22">
        <w:t xml:space="preserve"> prices and unemployment, </w:t>
      </w:r>
      <w:r w:rsidR="007B31D3">
        <w:t>foreign direct investment (FDI)</w:t>
      </w:r>
      <w:r w:rsidRPr="00096A22">
        <w:t xml:space="preserve"> flows and stocks</w:t>
      </w:r>
      <w:r w:rsidR="007B31D3">
        <w:t>,</w:t>
      </w:r>
      <w:r w:rsidRPr="00096A22">
        <w:t xml:space="preserve"> and labour productivity. This broadened macroeconomic imbalance procedure highlights the connectedness between the economy and society and thus the need for policy coherence. The</w:t>
      </w:r>
      <w:r w:rsidR="007B31D3">
        <w:t xml:space="preserve"> </w:t>
      </w:r>
      <w:r w:rsidR="007B31D3" w:rsidRPr="00096A22">
        <w:t xml:space="preserve">investment policy framework </w:t>
      </w:r>
      <w:r w:rsidR="007B31D3">
        <w:t>of the United Nations Conference on Trade and Development</w:t>
      </w:r>
      <w:r w:rsidRPr="00096A22">
        <w:t xml:space="preserve"> </w:t>
      </w:r>
      <w:r w:rsidR="007B31D3">
        <w:t>(</w:t>
      </w:r>
      <w:r w:rsidRPr="00096A22">
        <w:t>UNCTAD</w:t>
      </w:r>
      <w:r w:rsidR="007B31D3">
        <w:t>)</w:t>
      </w:r>
      <w:r w:rsidRPr="00096A22">
        <w:t xml:space="preserve"> includes policy coherence as a core principle. It states that investment policies should be grounded in a country’s overall development strategy and that policies that impact investment should be coherent and synergetic at both the national and international level </w:t>
      </w:r>
      <w:r w:rsidRPr="00096A22">
        <w:fldChar w:fldCharType="begin"/>
      </w:r>
      <w:r w:rsidR="004A7123">
        <w:instrText xml:space="preserve"> ADDIN ZOTERO_ITEM CSL_CITATION {"citationID":"CTJYcuDN","properties":{"formattedCitation":"(UNCTAD 2015)","plainCitation":"(UNCTAD 2015)","noteIndex":0},"citationItems":[{"id":"GGZNlT61/kclKWgnh","uris":["http://zotero.org/groups/1079892/items/R4URLV9H"],"uri":["http://zotero.org/groups/1079892/items/R4URLV9H"],"itemData":{"id":1202,"type":"report","title":"Investment Policy Framework for Sustainable Development","author":[{"family":"UNCTAD","given":""}],"issued":{"date-parts":[["2015"]]}}}],"schema":"https://github.com/citation-style-language/schema/raw/master/csl-citation.json"} </w:instrText>
      </w:r>
      <w:r w:rsidRPr="00096A22">
        <w:fldChar w:fldCharType="separate"/>
      </w:r>
      <w:r w:rsidR="004A7123" w:rsidRPr="007344DD">
        <w:rPr>
          <w:rFonts w:ascii="Calibri" w:hAnsi="Calibri" w:cs="Calibri"/>
        </w:rPr>
        <w:t>(UNCTAD 2015)</w:t>
      </w:r>
      <w:r w:rsidRPr="00096A22">
        <w:fldChar w:fldCharType="end"/>
      </w:r>
      <w:r w:rsidRPr="00096A22">
        <w:t xml:space="preserve">. The </w:t>
      </w:r>
      <w:r w:rsidR="007B31D3">
        <w:t>International Monetary Fund (</w:t>
      </w:r>
      <w:r w:rsidRPr="00096A22">
        <w:t>IMF</w:t>
      </w:r>
      <w:r w:rsidR="007B31D3">
        <w:t>)</w:t>
      </w:r>
      <w:r w:rsidRPr="00096A22">
        <w:t xml:space="preserve"> has stressed </w:t>
      </w:r>
      <w:r w:rsidR="00347437">
        <w:t xml:space="preserve">that efforts </w:t>
      </w:r>
      <w:r w:rsidRPr="00096A22">
        <w:t>relat</w:t>
      </w:r>
      <w:r w:rsidR="00347437">
        <w:t>ed</w:t>
      </w:r>
      <w:r w:rsidRPr="00096A22">
        <w:t xml:space="preserve"> to macroeconomic stability and the SDG</w:t>
      </w:r>
      <w:r w:rsidR="00347437">
        <w:t>s</w:t>
      </w:r>
      <w:r w:rsidRPr="00096A22">
        <w:t xml:space="preserve"> should focus on building strong institutions to strengthen investor confidence, </w:t>
      </w:r>
      <w:r w:rsidR="00D44EA6">
        <w:t xml:space="preserve">on </w:t>
      </w:r>
      <w:r w:rsidRPr="00096A22">
        <w:t xml:space="preserve">strengthening public finance to ensure debt sustainability and efficient public spending, </w:t>
      </w:r>
      <w:r w:rsidR="00D44EA6">
        <w:t xml:space="preserve">on </w:t>
      </w:r>
      <w:r w:rsidRPr="00096A22">
        <w:t xml:space="preserve">investing in infrastructure, </w:t>
      </w:r>
      <w:r w:rsidR="00D44EA6">
        <w:t xml:space="preserve">on </w:t>
      </w:r>
      <w:r w:rsidRPr="00096A22">
        <w:t>deepening financial markets while safeguarding financial stability</w:t>
      </w:r>
      <w:r w:rsidR="00D44EA6">
        <w:t>,</w:t>
      </w:r>
      <w:r w:rsidRPr="00096A22">
        <w:t xml:space="preserve"> and </w:t>
      </w:r>
      <w:r w:rsidR="00D44EA6">
        <w:t xml:space="preserve">on </w:t>
      </w:r>
      <w:r w:rsidRPr="00096A22">
        <w:t xml:space="preserve">promoting both social and </w:t>
      </w:r>
      <w:r w:rsidRPr="00096A22">
        <w:lastRenderedPageBreak/>
        <w:t>environmental sustainability. Given the globali</w:t>
      </w:r>
      <w:r w:rsidR="00FB01AA">
        <w:t>s</w:t>
      </w:r>
      <w:r w:rsidRPr="00096A22">
        <w:t xml:space="preserve">ed economy and </w:t>
      </w:r>
      <w:r w:rsidR="00D44EA6">
        <w:t xml:space="preserve">the </w:t>
      </w:r>
      <w:r w:rsidRPr="00096A22">
        <w:t xml:space="preserve">risk of spillovers, macroeconomic resilience is needed to handle external shocks. At </w:t>
      </w:r>
      <w:r w:rsidR="00804639" w:rsidRPr="00096A22">
        <w:t xml:space="preserve">the </w:t>
      </w:r>
      <w:r w:rsidRPr="00096A22">
        <w:t xml:space="preserve">international level, countries need to cooperate to ensure macroeconomic policies are mutually consistent, and to ensure a strong global financial safety </w:t>
      </w:r>
      <w:r w:rsidR="004F6500" w:rsidRPr="00096A22">
        <w:t>net</w:t>
      </w:r>
      <w:r w:rsidR="00C615A5" w:rsidRPr="00096A22">
        <w:t xml:space="preserve"> </w:t>
      </w:r>
      <w:r w:rsidR="00C615A5" w:rsidRPr="00096A22">
        <w:fldChar w:fldCharType="begin"/>
      </w:r>
      <w:r w:rsidR="004A7123">
        <w:instrText xml:space="preserve"> ADDIN ZOTERO_ITEM CSL_CITATION {"citationID":"hq6zcrqq","properties":{"formattedCitation":"(International Monetary Fund 2018)","plainCitation":"(International Monetary Fund 2018)","noteIndex":0},"citationItems":[{"id":"GGZNlT61/4iro1gFj","uris":["http://zotero.org/groups/1079892/items/5U9QS4K3"],"uri":["http://zotero.org/groups/1079892/items/5U9QS4K3"],"itemData":{"id":1205,"type":"webpage","title":"Factsheet - The IMF and the Sustainable Development Goals","container-title":"IMF","abstract":"The Sustainable Development Goals (SDGs) are a set of global development targets adopted by the member countries of the UN in September 2015. The SDGs, which replace the Millennium Development Goals (MDGs), will guide the global development agenda through 2030. The SDGs are universal and broader in scope than the MDGs, reflecting the view that development needs to be economically, socially, and environmentally sustainable. The IMF, with its expertise on macroeconomic and financial issues and its global membership, works with member countries to support their development efforts, while also promoting global economic and financial stability, a crucial precondition for development efforts to succeed.","URL":"http://www.imf.org/en/About/Factsheets/Sheets/2016/08/01/16/46/Sustainable-Development-Goals","language":"en","author":[{"family":"International Monetary Fund","given":""}],"issued":{"date-parts":[["2018",5]]},"accessed":{"date-parts":[["2018",5,25]]}}}],"schema":"https://github.com/citation-style-language/schema/raw/master/csl-citation.json"} </w:instrText>
      </w:r>
      <w:r w:rsidR="00C615A5" w:rsidRPr="00096A22">
        <w:fldChar w:fldCharType="separate"/>
      </w:r>
      <w:r w:rsidR="004A7123" w:rsidRPr="007344DD">
        <w:rPr>
          <w:rFonts w:ascii="Calibri" w:hAnsi="Calibri" w:cs="Calibri"/>
        </w:rPr>
        <w:t>(International Monetary Fund 2018)</w:t>
      </w:r>
      <w:r w:rsidR="00C615A5" w:rsidRPr="00096A22">
        <w:fldChar w:fldCharType="end"/>
      </w:r>
      <w:r w:rsidR="004F6500" w:rsidRPr="00096A22">
        <w:t>.</w:t>
      </w:r>
      <w:r w:rsidR="00C75623" w:rsidRPr="00096A22">
        <w:tab/>
      </w:r>
    </w:p>
    <w:p w14:paraId="3BA67A97" w14:textId="77777777" w:rsidR="00453552" w:rsidRPr="00096A22" w:rsidRDefault="007C4929" w:rsidP="00863358">
      <w:pPr>
        <w:pStyle w:val="Heading2"/>
      </w:pPr>
      <w:bookmarkStart w:id="34" w:name="_Toc529789841"/>
      <w:r w:rsidRPr="00096A22">
        <w:t>Expert recommendations (workshop outputs)</w:t>
      </w:r>
      <w:bookmarkEnd w:id="34"/>
    </w:p>
    <w:p w14:paraId="7CB9CDAA" w14:textId="2624B91F" w:rsidR="00574AC9" w:rsidRPr="00096A22" w:rsidRDefault="00A81DE9" w:rsidP="00574AC9">
      <w:r w:rsidRPr="00096A22">
        <w:t xml:space="preserve">Workshop participants addressed a number of issues related to policy coherence, </w:t>
      </w:r>
      <w:r w:rsidR="00D61281" w:rsidRPr="00096A22">
        <w:t>often</w:t>
      </w:r>
      <w:r w:rsidRPr="00096A22">
        <w:t xml:space="preserve"> through the lens of interactions between SDG targets. </w:t>
      </w:r>
      <w:r w:rsidR="005D31D2" w:rsidRPr="00096A22">
        <w:t>Participants called for studies addressing</w:t>
      </w:r>
      <w:r w:rsidR="00453552" w:rsidRPr="00096A22">
        <w:t xml:space="preserve"> how existing institutional arrangements </w:t>
      </w:r>
      <w:r w:rsidR="009E4F94" w:rsidRPr="00096A22">
        <w:t>for governance</w:t>
      </w:r>
      <w:r w:rsidR="005717A0">
        <w:t xml:space="preserve"> – such as </w:t>
      </w:r>
      <w:r w:rsidR="005717A0" w:rsidRPr="00096A22">
        <w:t>the WTO and the Paris Agreement</w:t>
      </w:r>
      <w:r w:rsidR="005717A0">
        <w:t xml:space="preserve"> –</w:t>
      </w:r>
      <w:r w:rsidR="009E4F94" w:rsidRPr="00096A22">
        <w:t xml:space="preserve"> </w:t>
      </w:r>
      <w:r w:rsidR="00453552" w:rsidRPr="00096A22">
        <w:t>interact</w:t>
      </w:r>
      <w:r w:rsidR="005717A0">
        <w:t xml:space="preserve"> </w:t>
      </w:r>
      <w:r w:rsidR="00453552" w:rsidRPr="00096A22">
        <w:t>with the SDG agenda</w:t>
      </w:r>
      <w:r w:rsidR="00D61281" w:rsidRPr="00096A22">
        <w:t>. In particular, some participants wondered how the fact that many international regimes are based in legal commitments</w:t>
      </w:r>
      <w:r w:rsidR="005717A0">
        <w:t xml:space="preserve"> – </w:t>
      </w:r>
      <w:r w:rsidR="00D61281" w:rsidRPr="00096A22">
        <w:t>such</w:t>
      </w:r>
      <w:r w:rsidR="005717A0">
        <w:t xml:space="preserve"> </w:t>
      </w:r>
      <w:r w:rsidR="00D61281" w:rsidRPr="00096A22">
        <w:t>as the human rights regime</w:t>
      </w:r>
      <w:r w:rsidR="005717A0">
        <w:t xml:space="preserve"> –</w:t>
      </w:r>
      <w:r w:rsidR="00D61281" w:rsidRPr="00096A22">
        <w:t xml:space="preserve"> affects</w:t>
      </w:r>
      <w:r w:rsidR="005717A0">
        <w:t xml:space="preserve"> </w:t>
      </w:r>
      <w:r w:rsidR="00D61281" w:rsidRPr="00096A22">
        <w:t xml:space="preserve">the advancement of </w:t>
      </w:r>
      <w:r w:rsidR="005717A0">
        <w:t xml:space="preserve">the voluntary </w:t>
      </w:r>
      <w:r w:rsidR="00D61281" w:rsidRPr="00096A22">
        <w:t xml:space="preserve">Agenda 2030. </w:t>
      </w:r>
      <w:r w:rsidR="009E4F94" w:rsidRPr="00096A22">
        <w:t xml:space="preserve">It was </w:t>
      </w:r>
      <w:r w:rsidR="00835322" w:rsidRPr="00096A22">
        <w:t xml:space="preserve">also </w:t>
      </w:r>
      <w:r w:rsidR="009E4F94" w:rsidRPr="00096A22">
        <w:t xml:space="preserve">argued that the SDGs involve </w:t>
      </w:r>
      <w:r w:rsidR="005717A0">
        <w:t>“</w:t>
      </w:r>
      <w:r w:rsidR="009E4F94" w:rsidRPr="00096A22">
        <w:t>methodological nationalism</w:t>
      </w:r>
      <w:r w:rsidR="005717A0">
        <w:t>”,</w:t>
      </w:r>
      <w:r w:rsidR="009E4F94" w:rsidRPr="00096A22">
        <w:t xml:space="preserve"> </w:t>
      </w:r>
      <w:r w:rsidR="00B65C8D">
        <w:t>when there is</w:t>
      </w:r>
      <w:r w:rsidR="005D31D2" w:rsidRPr="00096A22">
        <w:t xml:space="preserve"> a clear</w:t>
      </w:r>
      <w:r w:rsidR="009E4F94" w:rsidRPr="00096A22">
        <w:t xml:space="preserve"> need to understand policy coherence and SDG interactions at different scales, especially at the global level and sub-national level. </w:t>
      </w:r>
      <w:r w:rsidR="00035F85" w:rsidRPr="00096A22">
        <w:t>Other participants highlighted the need to u</w:t>
      </w:r>
      <w:r w:rsidR="004108FE" w:rsidRPr="00096A22">
        <w:t xml:space="preserve">nderstand how civil society and, especially, local government can cooperate for the advancement of the SDGs. </w:t>
      </w:r>
      <w:r w:rsidR="00574AC9" w:rsidRPr="00096A22">
        <w:t>Anot</w:t>
      </w:r>
      <w:r w:rsidR="00C25669" w:rsidRPr="00096A22">
        <w:t xml:space="preserve">her specific issue identified as a research avenue was </w:t>
      </w:r>
      <w:r w:rsidR="00B65C8D">
        <w:t>the impacts of</w:t>
      </w:r>
      <w:r w:rsidR="00C25669" w:rsidRPr="00096A22">
        <w:t xml:space="preserve"> successfully broadening the tax base in developing countries </w:t>
      </w:r>
      <w:r w:rsidR="00574AC9" w:rsidRPr="00096A22">
        <w:t xml:space="preserve">on FDI, tech transfer </w:t>
      </w:r>
      <w:r w:rsidR="00C25669" w:rsidRPr="00096A22">
        <w:t xml:space="preserve">and </w:t>
      </w:r>
      <w:r w:rsidR="00574AC9" w:rsidRPr="00096A22">
        <w:t>remittances.</w:t>
      </w:r>
    </w:p>
    <w:p w14:paraId="7F13F8A7" w14:textId="2EB977B0" w:rsidR="009E4F94" w:rsidRPr="00096A22" w:rsidRDefault="00907888" w:rsidP="009E4F94">
      <w:r w:rsidRPr="00096A22">
        <w:t>Workshop participants identified the development of models and tools for achieving policy coherence as an important research task. How can coherence between government agencies and between countries</w:t>
      </w:r>
      <w:r w:rsidR="00556481" w:rsidRPr="00096A22">
        <w:t>,</w:t>
      </w:r>
      <w:r w:rsidRPr="00096A22">
        <w:t xml:space="preserve"> with </w:t>
      </w:r>
      <w:r w:rsidR="00556481" w:rsidRPr="00096A22">
        <w:t xml:space="preserve">potentially different ideologies, be achieved? </w:t>
      </w:r>
      <w:r w:rsidR="00477D1B" w:rsidRPr="00096A22">
        <w:t xml:space="preserve">Current models were viewed as insufficient. In this vein, </w:t>
      </w:r>
      <w:r w:rsidR="0090506C">
        <w:t>some participants highlighted the need to go</w:t>
      </w:r>
      <w:r w:rsidR="00477D1B" w:rsidRPr="00096A22">
        <w:t xml:space="preserve"> beyond characterising SDG interactions to understand causality between SDG targets (i.e. which targets cause improvement in other targets)</w:t>
      </w:r>
      <w:r w:rsidR="0090506C">
        <w:t xml:space="preserve">, and identified it </w:t>
      </w:r>
      <w:r w:rsidR="00543462" w:rsidRPr="00096A22">
        <w:t>as a key input for achieving policy coherence.</w:t>
      </w:r>
    </w:p>
    <w:p w14:paraId="3C370F49" w14:textId="121125D1" w:rsidR="000D6E36" w:rsidRPr="00096A22" w:rsidRDefault="00330742" w:rsidP="000D6E36">
      <w:r w:rsidRPr="00096A22">
        <w:t xml:space="preserve">Another set of questions </w:t>
      </w:r>
      <w:r w:rsidR="00BE68D7" w:rsidRPr="00096A22">
        <w:t xml:space="preserve">brought up by participants </w:t>
      </w:r>
      <w:r w:rsidR="000D6E36" w:rsidRPr="00096A22">
        <w:t>challenge</w:t>
      </w:r>
      <w:r w:rsidR="009D103C" w:rsidRPr="00096A22">
        <w:t>d</w:t>
      </w:r>
      <w:r w:rsidR="000D6E36" w:rsidRPr="00096A22">
        <w:t xml:space="preserve"> the idea that all SDG goals can be achieved simultaneously and called for deeper thinking about trade-offs. Can we really address poverty and achieve sustainable consumption at the same time? Can we really accelerate global trade and achieve environmental goals?</w:t>
      </w:r>
      <w:r w:rsidR="002A5DEA" w:rsidRPr="00096A22">
        <w:t xml:space="preserve"> In a similar vein, some participants called for cases studies assessing trade-offs between effectiveness in achieving SDG targets versus perceptions of legitimacy in the means of achievement. This was viewed as particularly important for SDG targets that are quantified in monetary terms.</w:t>
      </w:r>
    </w:p>
    <w:p w14:paraId="27523DA9" w14:textId="77777777" w:rsidR="00706783" w:rsidRPr="00096A22" w:rsidRDefault="00706783" w:rsidP="00667874"/>
    <w:p w14:paraId="19144394" w14:textId="77777777" w:rsidR="00667874" w:rsidRPr="00096A22" w:rsidRDefault="00667874" w:rsidP="00667874">
      <w:pPr>
        <w:pStyle w:val="Heading1"/>
      </w:pPr>
      <w:bookmarkStart w:id="35" w:name="_Toc529789842"/>
      <w:r w:rsidRPr="00096A22">
        <w:t>Key theme 3: Technology access and capacity</w:t>
      </w:r>
      <w:bookmarkEnd w:id="35"/>
    </w:p>
    <w:p w14:paraId="39714DAC" w14:textId="77777777" w:rsidR="00A73DF3" w:rsidRPr="00096A22" w:rsidRDefault="00667874" w:rsidP="00667874">
      <w:r w:rsidRPr="00096A22">
        <w:t>17.6</w:t>
      </w:r>
      <w:r w:rsidR="00A73DF3">
        <w:t xml:space="preserve">, </w:t>
      </w:r>
      <w:r w:rsidR="00A73DF3" w:rsidRPr="00096A22">
        <w:t xml:space="preserve">17.7, 9.5, 9.a </w:t>
      </w:r>
      <w:r w:rsidR="00A73DF3">
        <w:t>and</w:t>
      </w:r>
      <w:r w:rsidR="00A73DF3" w:rsidRPr="00096A22">
        <w:t xml:space="preserve"> 9.b</w:t>
      </w:r>
    </w:p>
    <w:p w14:paraId="4ABD8F35" w14:textId="1C3169B1" w:rsidR="00667874" w:rsidRPr="00096A22" w:rsidRDefault="00667874" w:rsidP="00667874">
      <w:r w:rsidRPr="00096A22">
        <w:t xml:space="preserve">International technology transfer is clearly extensive and increasing as economies become more globally integrated. At the same time, accelerating the rate of technology transfer is essential to the achievement of the SDGs for three key reasons. First, technology transfer provides developing countries the opportunities to absorb the most productive technological advancements in our economies and to accelerate the convergence to welfare levels currently </w:t>
      </w:r>
      <w:r w:rsidRPr="00096A22">
        <w:lastRenderedPageBreak/>
        <w:t>enjoyed in more developed countries. Second, access to technology is critical for supporting local innovation systems and fully realising local competitive advantages. Third, environmental conditions, particularly climate change, require that developing countries adopt a different development path than today’s wealthiest economies followed. Meeting the ambitions of both the SDGs and the Pairs Agreement requires not only that poorer regions grow economically</w:t>
      </w:r>
      <w:r w:rsidR="005874DB">
        <w:t>,</w:t>
      </w:r>
      <w:r w:rsidRPr="00096A22">
        <w:t xml:space="preserve"> but also that they move rapidly to clean technology at the same time as they become highly productive.</w:t>
      </w:r>
    </w:p>
    <w:p w14:paraId="652BC848" w14:textId="5D1F69A4" w:rsidR="00667874" w:rsidRDefault="00667874" w:rsidP="00667874">
      <w:r w:rsidRPr="00096A22">
        <w:t xml:space="preserve">As we will see below, the effects of </w:t>
      </w:r>
      <w:r w:rsidR="00E860A2">
        <w:t>i</w:t>
      </w:r>
      <w:r w:rsidRPr="00096A22">
        <w:t xml:space="preserve">ntellectual </w:t>
      </w:r>
      <w:r w:rsidR="00E860A2">
        <w:t>p</w:t>
      </w:r>
      <w:r w:rsidRPr="00096A22">
        <w:t xml:space="preserve">roperty </w:t>
      </w:r>
      <w:r w:rsidR="00E860A2">
        <w:t>r</w:t>
      </w:r>
      <w:r w:rsidRPr="00096A22">
        <w:t xml:space="preserve">ights regimes on technology transfer to developing countries is a highly contentious research question. However, to begin we will </w:t>
      </w:r>
      <w:r w:rsidR="005874DB">
        <w:t xml:space="preserve">put </w:t>
      </w:r>
      <w:r w:rsidRPr="00096A22">
        <w:t xml:space="preserve">IPR issues to the side and instead focus on the overall technology challenges typically faced by developing countries. A recent review of the literature found that developing countries (especially LDCs) characteristically face three general barriers to effective technology transfer </w:t>
      </w:r>
      <w:r w:rsidRPr="00096A22">
        <w:fldChar w:fldCharType="begin"/>
      </w:r>
      <w:r w:rsidR="004A7123">
        <w:instrText xml:space="preserve"> ADDIN ZOTERO_ITEM CSL_CITATION {"citationID":"a1c5r0mmv4q","properties":{"formattedCitation":"(Suzuki 2015)","plainCitation":"(Suzuki 2015)","noteIndex":0},"citationItems":[{"id":"GGZNlT61/uoeUloZ8","uris":["http://zotero.org/users/4803578/items/3P9YE978"],"uri":["http://zotero.org/users/4803578/items/3P9YE978"],"itemData":{"id":123,"type":"article-journal","title":"Identifying roles of international institutions in clean energy technology innovation and diffusion in the developing countries: matching barriers with roles of the institutions","container-title":"Journal of Cleaner Production","collection-title":"Special Volume: Support your future today! Turn environmental challenges into opportunities.","page":"229-240","volume":"98","source":"ScienceDirect","abstract":"The development of clean energy technologies is a central issue in climate change negotiation. The signatory countries to the United Nations Convention on Climate Change agreed to organize the Technology Executive Committee and the Climate Technology Centre and Network. The objectives of this paper are twofold. The first objective is to show a broad landscape of barriers in technology development. The paper summarizes the results of key case studies that were conducted to uncover technology-specific barriers in technology development. These case studies include both technologies for industrial use such as wind, bio-energy and building energy efficiency and technologies for individual use such as Light Emitting Diodes and photovoltaic panels. The case studies also contain technologies at the innovation stage such as Integrated Gasification Combined Cycle and Carbon Capture and Storage. The second objective of this paper is to highlight and define roles of international institutions in overcoming identified barriers in clean energy technology development. In this paper four areas of focus for international institutions are discussed, including: 1) increasing R&amp;D cooperation at the innovation stage, 2) facilitation of intellectual property rights, 3) supporting finance, and 4) enhancing the enabling environment at the diffusion stage.","DOI":"10.1016/j.jclepro.2014.08.070","ISSN":"0959-6526","shortTitle":"Identifying roles of international institutions in clean energy technology innovation and diffusion in the developing countries","journalAbbreviation":"Journal of Cleaner Production","author":[{"family":"Suzuki","given":"Masachika"}],"issued":{"date-parts":[["2015",7,1]]}}}],"schema":"https://github.com/citation-style-language/schema/raw/master/csl-citation.json"} </w:instrText>
      </w:r>
      <w:r w:rsidRPr="00096A22">
        <w:fldChar w:fldCharType="separate"/>
      </w:r>
      <w:r w:rsidR="004A7123" w:rsidRPr="007344DD">
        <w:rPr>
          <w:rFonts w:ascii="Calibri" w:hAnsi="Calibri" w:cs="Calibri"/>
        </w:rPr>
        <w:t>(Suzuki 2015)</w:t>
      </w:r>
      <w:r w:rsidRPr="00096A22">
        <w:fldChar w:fldCharType="end"/>
      </w:r>
      <w:r w:rsidRPr="00096A22">
        <w:t>.</w:t>
      </w:r>
      <w:r w:rsidR="004A7123">
        <w:t xml:space="preserve"> </w:t>
      </w:r>
      <w:r w:rsidRPr="00096A22">
        <w:t>First, lack of technological capacity including insufficient technology to support adoption of new technologies, lack of knowledge on operation and management of new technologies, lack of skilled personnel and training facilities, and lack of technology standards, codes and certifications. Second, gaps in financial capacity including lack of access to financing, weak commercial viability, and weak domestic financial institutions. Financing can be particularly important for technologies that deliver high efficiency gains but also require high initial investments compared to existing technologies, which is often characteristic of new clean technological innovations.</w:t>
      </w:r>
      <w:r w:rsidR="004A7123">
        <w:t xml:space="preserve"> </w:t>
      </w:r>
      <w:r w:rsidRPr="00096A22">
        <w:t>The third barrier is institutional including lack of supporting government policies or uncertain governmental policies</w:t>
      </w:r>
      <w:r w:rsidR="00D22A96">
        <w:t>;</w:t>
      </w:r>
      <w:r w:rsidRPr="00096A22">
        <w:t xml:space="preserve"> low government capacity to integrate new technologies into policies and planning</w:t>
      </w:r>
      <w:r w:rsidR="00D22A96">
        <w:t>;</w:t>
      </w:r>
      <w:r w:rsidRPr="00096A22">
        <w:t xml:space="preserve"> red tape</w:t>
      </w:r>
      <w:r w:rsidR="00D22A96">
        <w:t>;</w:t>
      </w:r>
      <w:r w:rsidRPr="00096A22">
        <w:t xml:space="preserve"> insufficient infrastructure</w:t>
      </w:r>
      <w:r w:rsidR="00D22A96">
        <w:t>;</w:t>
      </w:r>
      <w:r w:rsidRPr="00096A22">
        <w:t xml:space="preserve"> low awareness about technology options</w:t>
      </w:r>
      <w:r w:rsidR="00D22A96">
        <w:t>;</w:t>
      </w:r>
      <w:r w:rsidRPr="00096A22">
        <w:t xml:space="preserve"> and low acceptance of new technologies </w:t>
      </w:r>
      <w:r w:rsidRPr="00096A22">
        <w:fldChar w:fldCharType="begin"/>
      </w:r>
      <w:r w:rsidR="004A7123">
        <w:instrText xml:space="preserve"> ADDIN ZOTERO_ITEM CSL_CITATION {"citationID":"a2f45gvt282","properties":{"formattedCitation":"(Suzuki 2015)","plainCitation":"(Suzuki 2015)","noteIndex":0},"citationItems":[{"id":"GGZNlT61/uoeUloZ8","uris":["http://zotero.org/users/4803578/items/3P9YE978"],"uri":["http://zotero.org/users/4803578/items/3P9YE978"],"itemData":{"id":123,"type":"article-journal","title":"Identifying roles of international institutions in clean energy technology innovation and diffusion in the developing countries: matching barriers with roles of the institutions","container-title":"Journal of Cleaner Production","collection-title":"Special Volume: Support your future today! Turn environmental challenges into opportunities.","page":"229-240","volume":"98","source":"ScienceDirect","abstract":"The development of clean energy technologies is a central issue in climate change negotiation. The signatory countries to the United Nations Convention on Climate Change agreed to organize the Technology Executive Committee and the Climate Technology Centre and Network. The objectives of this paper are twofold. The first objective is to show a broad landscape of barriers in technology development. The paper summarizes the results of key case studies that were conducted to uncover technology-specific barriers in technology development. These case studies include both technologies for industrial use such as wind, bio-energy and building energy efficiency and technologies for individual use such as Light Emitting Diodes and photovoltaic panels. The case studies also contain technologies at the innovation stage such as Integrated Gasification Combined Cycle and Carbon Capture and Storage. The second objective of this paper is to highlight and define roles of international institutions in overcoming identified barriers in clean energy technology development. In this paper four areas of focus for international institutions are discussed, including: 1) increasing R&amp;D cooperation at the innovation stage, 2) facilitation of intellectual property rights, 3) supporting finance, and 4) enhancing the enabling environment at the diffusion stage.","DOI":"10.1016/j.jclepro.2014.08.070","ISSN":"0959-6526","shortTitle":"Identifying roles of international institutions in clean energy technology innovation and diffusion in the developing countries","journalAbbreviation":"Journal of Cleaner Production","author":[{"family":"Suzuki","given":"Masachika"}],"issued":{"date-parts":[["2015",7,1]]}}}],"schema":"https://github.com/citation-style-language/schema/raw/master/csl-citation.json"} </w:instrText>
      </w:r>
      <w:r w:rsidRPr="00096A22">
        <w:fldChar w:fldCharType="separate"/>
      </w:r>
      <w:r w:rsidR="004A7123" w:rsidRPr="007344DD">
        <w:rPr>
          <w:rFonts w:ascii="Calibri" w:hAnsi="Calibri" w:cs="Calibri"/>
        </w:rPr>
        <w:t>(Suzuki 2015)</w:t>
      </w:r>
      <w:r w:rsidRPr="00096A22">
        <w:fldChar w:fldCharType="end"/>
      </w:r>
      <w:r w:rsidRPr="00096A22">
        <w:t>.</w:t>
      </w:r>
    </w:p>
    <w:p w14:paraId="1B4C9673" w14:textId="4E13DA26" w:rsidR="00F87B97" w:rsidRPr="00096A22" w:rsidRDefault="00F87B97" w:rsidP="00667874">
      <w:r w:rsidRPr="00F87B97">
        <w:rPr>
          <w:b/>
          <w:noProof/>
          <w:lang w:eastAsia="en-GB"/>
        </w:rPr>
        <w:drawing>
          <wp:anchor distT="0" distB="0" distL="114300" distR="114300" simplePos="0" relativeHeight="251658240" behindDoc="0" locked="0" layoutInCell="1" allowOverlap="1" wp14:anchorId="30AB5660" wp14:editId="50F5FE83">
            <wp:simplePos x="0" y="0"/>
            <wp:positionH relativeFrom="column">
              <wp:posOffset>-6239</wp:posOffset>
            </wp:positionH>
            <wp:positionV relativeFrom="paragraph">
              <wp:posOffset>315264</wp:posOffset>
            </wp:positionV>
            <wp:extent cx="4127500" cy="25527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27500" cy="2552700"/>
                    </a:xfrm>
                    <a:prstGeom prst="rect">
                      <a:avLst/>
                    </a:prstGeom>
                  </pic:spPr>
                </pic:pic>
              </a:graphicData>
            </a:graphic>
            <wp14:sizeRelH relativeFrom="page">
              <wp14:pctWidth>0</wp14:pctWidth>
            </wp14:sizeRelH>
            <wp14:sizeRelV relativeFrom="page">
              <wp14:pctHeight>0</wp14:pctHeight>
            </wp14:sizeRelV>
          </wp:anchor>
        </w:drawing>
      </w:r>
      <w:r w:rsidRPr="00F87B97">
        <w:rPr>
          <w:b/>
        </w:rPr>
        <w:t>Figure 1</w:t>
      </w:r>
      <w:r>
        <w:t xml:space="preserve">. </w:t>
      </w:r>
      <w:r w:rsidRPr="003A2007">
        <w:rPr>
          <w:b/>
          <w:szCs w:val="22"/>
        </w:rPr>
        <w:t xml:space="preserve">National </w:t>
      </w:r>
      <w:r>
        <w:rPr>
          <w:b/>
          <w:szCs w:val="22"/>
        </w:rPr>
        <w:t>i</w:t>
      </w:r>
      <w:r w:rsidRPr="003A2007">
        <w:rPr>
          <w:b/>
          <w:szCs w:val="22"/>
        </w:rPr>
        <w:t xml:space="preserve">nnovation </w:t>
      </w:r>
      <w:r>
        <w:rPr>
          <w:b/>
          <w:szCs w:val="22"/>
        </w:rPr>
        <w:t>s</w:t>
      </w:r>
      <w:r w:rsidRPr="003A2007">
        <w:rPr>
          <w:b/>
          <w:szCs w:val="22"/>
        </w:rPr>
        <w:t>ystem</w:t>
      </w:r>
    </w:p>
    <w:p w14:paraId="21DCBA85" w14:textId="6DA61ECC" w:rsidR="00F87B97" w:rsidRPr="00F87B97" w:rsidRDefault="00F87B97" w:rsidP="00667874">
      <w:pPr>
        <w:rPr>
          <w:sz w:val="18"/>
        </w:rPr>
      </w:pPr>
      <w:r w:rsidRPr="007344DD">
        <w:rPr>
          <w:sz w:val="18"/>
        </w:rPr>
        <w:t xml:space="preserve">Source: </w:t>
      </w:r>
      <w:r w:rsidRPr="007344DD">
        <w:rPr>
          <w:sz w:val="18"/>
        </w:rPr>
        <w:fldChar w:fldCharType="begin"/>
      </w:r>
      <w:r>
        <w:rPr>
          <w:sz w:val="18"/>
        </w:rPr>
        <w:instrText xml:space="preserve"> ADDIN ZOTERO_ITEM CSL_CITATION {"citationID":"a2aca7dm6kc","properties":{"formattedCitation":"(UNCTAD 2014)","plainCitation":"(UNCTAD 2014)","noteIndex":0},"citationItems":[{"id":"GGZNlT61/jnZXoSOe","uris":["http://zotero.org/users/4803578/items/KQF4YQZI"],"uri":["http://zotero.org/users/4803578/items/KQF4YQZI"],"itemData":{"id":125,"type":"report","title":"Transfer of Technology and Knowledge Sharing for Developmen","publisher":"United Nations Conference on Trade and Development","author":[{"family":"UNCTAD","given":""}],"issued":{"date-parts":[["2014"]]}}}],"schema":"https://github.com/citation-style-language/schema/raw/master/csl-citation.json"} </w:instrText>
      </w:r>
      <w:r w:rsidRPr="007344DD">
        <w:rPr>
          <w:sz w:val="18"/>
        </w:rPr>
        <w:fldChar w:fldCharType="separate"/>
      </w:r>
      <w:r w:rsidRPr="007344DD">
        <w:rPr>
          <w:rFonts w:ascii="Calibri" w:hAnsi="Calibri" w:cs="Calibri"/>
          <w:sz w:val="18"/>
        </w:rPr>
        <w:t>(UNCTAD 2014)</w:t>
      </w:r>
      <w:r w:rsidRPr="007344DD">
        <w:rPr>
          <w:sz w:val="18"/>
        </w:rPr>
        <w:fldChar w:fldCharType="end"/>
      </w:r>
    </w:p>
    <w:p w14:paraId="69181C7F" w14:textId="5DFD0D4A" w:rsidR="00667874" w:rsidRPr="00096A22" w:rsidRDefault="00667874" w:rsidP="00667874">
      <w:r w:rsidRPr="00096A22">
        <w:t xml:space="preserve">The above barriers look particularly important in the clean energy sector but should be understood as affecting access to technology generally. These barriers are highly relevant wherever advancement of the SDGs has a clear technological component. One key message in </w:t>
      </w:r>
      <w:r w:rsidRPr="00096A22">
        <w:lastRenderedPageBreak/>
        <w:t xml:space="preserve">the literature is that effective technological transfer is dependent on having the knowledge and capacity to use the technology and on developing economic models that fit local contexts </w:t>
      </w:r>
      <w:r w:rsidRPr="00096A22">
        <w:fldChar w:fldCharType="begin"/>
      </w:r>
      <w:r w:rsidR="004A7123">
        <w:instrText xml:space="preserve"> ADDIN ZOTERO_ITEM CSL_CITATION {"citationID":"a1hq3s08sqt","properties":{"formattedCitation":"(UNCTAD 2017)","plainCitation":"(UNCTAD 2017)","noteIndex":0},"citationItems":[{"id":"GGZNlT61/gsAjYA37","uris":["http://zotero.org/users/4803578/items/N3UI468U"],"uri":["http://zotero.org/users/4803578/items/N3UI468U"],"itemData":{"id":124,"type":"report","title":"The Least Developed Countries Report 2017","publisher":"United Nations Conference on Trade and Development","author":[{"family":"UNCTAD","given":""}],"issued":{"date-parts":[["2017",11]]}}}],"schema":"https://github.com/citation-style-language/schema/raw/master/csl-citation.json"} </w:instrText>
      </w:r>
      <w:r w:rsidRPr="00096A22">
        <w:fldChar w:fldCharType="separate"/>
      </w:r>
      <w:r w:rsidR="004A7123" w:rsidRPr="007344DD">
        <w:rPr>
          <w:rFonts w:ascii="Calibri" w:hAnsi="Calibri" w:cs="Calibri"/>
        </w:rPr>
        <w:t>(UNCTAD 2017)</w:t>
      </w:r>
      <w:r w:rsidRPr="00096A22">
        <w:fldChar w:fldCharType="end"/>
      </w:r>
      <w:r w:rsidRPr="00096A22">
        <w:t>. Again, local absorptive capacity is particularly important in the energy</w:t>
      </w:r>
      <w:r w:rsidR="00D22A96">
        <w:t xml:space="preserve"> </w:t>
      </w:r>
      <w:r w:rsidRPr="00096A22">
        <w:t>sector given the high level of technical complexity</w:t>
      </w:r>
      <w:r w:rsidR="00D22A96">
        <w:t>,</w:t>
      </w:r>
      <w:r w:rsidRPr="00096A22">
        <w:t xml:space="preserve"> combined with </w:t>
      </w:r>
      <w:r w:rsidR="00D22A96">
        <w:t xml:space="preserve">the </w:t>
      </w:r>
      <w:r w:rsidRPr="00096A22">
        <w:t xml:space="preserve">clear need to adapt technology to existing energy infrastructures and local conditions </w:t>
      </w:r>
      <w:r w:rsidRPr="00096A22">
        <w:fldChar w:fldCharType="begin"/>
      </w:r>
      <w:r w:rsidR="004A7123">
        <w:instrText xml:space="preserve"> ADDIN ZOTERO_ITEM CSL_CITATION {"citationID":"ak4is6f51n","properties":{"formattedCitation":"(UNCTAD 2017)","plainCitation":"(UNCTAD 2017)","noteIndex":0},"citationItems":[{"id":"GGZNlT61/gsAjYA37","uris":["http://zotero.org/users/4803578/items/N3UI468U"],"uri":["http://zotero.org/users/4803578/items/N3UI468U"],"itemData":{"id":124,"type":"report","title":"The Least Developed Countries Report 2017","publisher":"United Nations Conference on Trade and Development","author":[{"family":"UNCTAD","given":""}],"issued":{"date-parts":[["2017",11]]}}}],"schema":"https://github.com/citation-style-language/schema/raw/master/csl-citation.json"} </w:instrText>
      </w:r>
      <w:r w:rsidRPr="00096A22">
        <w:fldChar w:fldCharType="separate"/>
      </w:r>
      <w:r w:rsidR="004A7123" w:rsidRPr="007344DD">
        <w:rPr>
          <w:rFonts w:ascii="Calibri" w:hAnsi="Calibri" w:cs="Calibri"/>
        </w:rPr>
        <w:t>(UNCTAD 2017)</w:t>
      </w:r>
      <w:r w:rsidRPr="00096A22">
        <w:fldChar w:fldCharType="end"/>
      </w:r>
      <w:r w:rsidRPr="00096A22">
        <w:t>.</w:t>
      </w:r>
      <w:r w:rsidR="00F87B97">
        <w:t xml:space="preserve"> </w:t>
      </w:r>
      <w:r w:rsidR="00F87B97" w:rsidRPr="00096A22">
        <w:t xml:space="preserve">LCDs are typically characterised by weaker national innovation systems (see </w:t>
      </w:r>
      <w:r w:rsidR="00F87B97" w:rsidRPr="00096A22">
        <w:fldChar w:fldCharType="begin"/>
      </w:r>
      <w:r w:rsidR="00F87B97" w:rsidRPr="00096A22">
        <w:instrText xml:space="preserve"> REF _Ref501460316 \h </w:instrText>
      </w:r>
      <w:r w:rsidR="00F87B97" w:rsidRPr="00096A22">
        <w:fldChar w:fldCharType="separate"/>
      </w:r>
      <w:r w:rsidR="00F87B97" w:rsidRPr="00096A22">
        <w:t>Figure 1</w:t>
      </w:r>
      <w:r w:rsidR="00F87B97" w:rsidRPr="00096A22">
        <w:fldChar w:fldCharType="end"/>
      </w:r>
      <w:r w:rsidR="00F87B97" w:rsidRPr="00096A22">
        <w:t>).</w:t>
      </w:r>
    </w:p>
    <w:p w14:paraId="276B2166" w14:textId="5060507D" w:rsidR="00F87B97" w:rsidRDefault="00667874" w:rsidP="00667874">
      <w:r w:rsidRPr="00096A22">
        <w:t xml:space="preserve">Domestic innovation capacity is important not only for creating new technologies but also for the adaptation of technologies to local contexts. </w:t>
      </w:r>
      <w:r w:rsidRPr="00096A22">
        <w:rPr>
          <w:b/>
          <w:i/>
        </w:rPr>
        <w:t xml:space="preserve">Thus, there is a need for research on the type of local innovation capacity LDCs would most benefit from </w:t>
      </w:r>
      <w:r w:rsidRPr="00096A22">
        <w:rPr>
          <w:b/>
          <w:i/>
        </w:rPr>
        <w:fldChar w:fldCharType="begin"/>
      </w:r>
      <w:r w:rsidR="004A7123">
        <w:rPr>
          <w:b/>
          <w:i/>
        </w:rPr>
        <w:instrText xml:space="preserve"> ADDIN ZOTERO_ITEM CSL_CITATION {"citationID":"a79d45m5bj","properties":{"formattedCitation":"(Ockwell and Mallett 2013)","plainCitation":"(Ockwell and Mallett 2013)","noteIndex":0},"citationItems":[{"id":"GGZNlT61/vuC0M8gF","uris":["http://zotero.org/users/4803578/items/7ZDNIBJ7"],"uri":["http://zotero.org/users/4803578/items/7ZDNIBJ7"],"itemData":{"id":126,"type":"article-journal","title":"Low carbon innovation and technology transfer","container-title":"Low carbon development: key issues","page":"109–128","source":"Google Scholar","author":[{"family":"Ockwell","given":"David"},{"family":"Mallett","given":"Alexandra"}],"issued":{"date-parts":[["2013"]]}}}],"schema":"https://github.com/citation-style-language/schema/raw/master/csl-citation.json"} </w:instrText>
      </w:r>
      <w:r w:rsidRPr="00096A22">
        <w:rPr>
          <w:b/>
          <w:i/>
        </w:rPr>
        <w:fldChar w:fldCharType="separate"/>
      </w:r>
      <w:r w:rsidR="004A7123" w:rsidRPr="007344DD">
        <w:rPr>
          <w:rFonts w:ascii="Calibri" w:hAnsi="Calibri" w:cs="Calibri"/>
        </w:rPr>
        <w:t>(Ockwell and Mallett 2013)</w:t>
      </w:r>
      <w:r w:rsidRPr="00096A22">
        <w:rPr>
          <w:b/>
          <w:i/>
        </w:rPr>
        <w:fldChar w:fldCharType="end"/>
      </w:r>
      <w:r w:rsidRPr="00096A22">
        <w:rPr>
          <w:b/>
          <w:i/>
        </w:rPr>
        <w:t>. For example, more work should be done on understanding how to better match levels of technological complexity with local capacity to absorb technology</w:t>
      </w:r>
      <w:r w:rsidR="00EB2FEF">
        <w:rPr>
          <w:b/>
          <w:i/>
        </w:rPr>
        <w:t>,</w:t>
      </w:r>
      <w:r w:rsidRPr="00096A22">
        <w:rPr>
          <w:b/>
          <w:i/>
        </w:rPr>
        <w:t xml:space="preserve"> in order to accelerate productive technological transfer </w:t>
      </w:r>
      <w:r w:rsidRPr="00096A22">
        <w:rPr>
          <w:b/>
          <w:i/>
        </w:rPr>
        <w:fldChar w:fldCharType="begin"/>
      </w:r>
      <w:r w:rsidR="004A7123">
        <w:rPr>
          <w:b/>
          <w:i/>
        </w:rPr>
        <w:instrText xml:space="preserve"> ADDIN ZOTERO_ITEM CSL_CITATION {"citationID":"adr0api9s4","properties":{"formattedCitation":"(Blohmke 2014)","plainCitation":"(Blohmke 2014)","noteIndex":0},"citationItems":[{"id":"GGZNlT61/axyOoPbE","uris":["http://zotero.org/users/4803578/items/BBBWXVMQ"],"uri":["http://zotero.org/users/4803578/items/BBBWXVMQ"],"itemData":{"id":127,"type":"article-journal","title":"Technology complexity, technology transfer mechanisms and sustainable development","container-title":"Energy for Sustainable Development","page":"237–246","volume":"23","source":"Google Scholar","author":[{"family":"Blohmke","given":"Julian"}],"issued":{"date-parts":[["2014"]]}}}],"schema":"https://github.com/citation-style-language/schema/raw/master/csl-citation.json"} </w:instrText>
      </w:r>
      <w:r w:rsidRPr="00096A22">
        <w:rPr>
          <w:b/>
          <w:i/>
        </w:rPr>
        <w:fldChar w:fldCharType="separate"/>
      </w:r>
      <w:r w:rsidR="004A7123" w:rsidRPr="007344DD">
        <w:rPr>
          <w:rFonts w:ascii="Calibri" w:hAnsi="Calibri" w:cs="Calibri"/>
        </w:rPr>
        <w:t>(Blohmke 2014)</w:t>
      </w:r>
      <w:r w:rsidRPr="00096A22">
        <w:rPr>
          <w:b/>
          <w:i/>
        </w:rPr>
        <w:fldChar w:fldCharType="end"/>
      </w:r>
      <w:r w:rsidRPr="00096A22">
        <w:rPr>
          <w:b/>
          <w:i/>
        </w:rPr>
        <w:t>.</w:t>
      </w:r>
      <w:r w:rsidRPr="00096A22">
        <w:t xml:space="preserve"> </w:t>
      </w:r>
      <w:r w:rsidRPr="00096A22">
        <w:rPr>
          <w:b/>
          <w:i/>
        </w:rPr>
        <w:t>Likewise, more general research</w:t>
      </w:r>
      <w:r w:rsidR="00EB2FEF">
        <w:rPr>
          <w:b/>
          <w:i/>
        </w:rPr>
        <w:t xml:space="preserve"> should focus</w:t>
      </w:r>
      <w:r w:rsidRPr="00096A22">
        <w:rPr>
          <w:b/>
          <w:i/>
        </w:rPr>
        <w:t xml:space="preserve"> on how to improve absorptive capacity in LDCs and</w:t>
      </w:r>
      <w:r w:rsidR="00EB2FEF">
        <w:rPr>
          <w:b/>
          <w:i/>
        </w:rPr>
        <w:t>,</w:t>
      </w:r>
      <w:r w:rsidRPr="00096A22">
        <w:rPr>
          <w:b/>
          <w:i/>
        </w:rPr>
        <w:t xml:space="preserve"> not least</w:t>
      </w:r>
      <w:r w:rsidR="00EB2FEF">
        <w:rPr>
          <w:b/>
          <w:i/>
        </w:rPr>
        <w:t>, on</w:t>
      </w:r>
      <w:r w:rsidRPr="00096A22">
        <w:rPr>
          <w:b/>
          <w:i/>
        </w:rPr>
        <w:t xml:space="preserve"> the development of technological, financing, and business solutions that are well suited to uptake in LDC contexts</w:t>
      </w:r>
      <w:r w:rsidR="00EB2FEF">
        <w:rPr>
          <w:b/>
          <w:i/>
        </w:rPr>
        <w:t>.</w:t>
      </w:r>
      <w:r w:rsidR="00F87B97" w:rsidRPr="00F87B97">
        <w:rPr>
          <w:noProof/>
          <w:lang w:eastAsia="en-GB"/>
        </w:rPr>
        <w:t xml:space="preserve"> </w:t>
      </w:r>
    </w:p>
    <w:p w14:paraId="66A3A605" w14:textId="32C6854B" w:rsidR="00667874" w:rsidRPr="00096A22" w:rsidRDefault="00667874" w:rsidP="00667874">
      <w:pPr>
        <w:rPr>
          <w:b/>
          <w:i/>
          <w:highlight w:val="yellow"/>
        </w:rPr>
      </w:pPr>
      <w:r w:rsidRPr="00096A22">
        <w:t xml:space="preserve">LDCs will need external financial support from more developed states if they are to gain sufficient access to the technologies needed to achieve the SDGs and to move onto development pathways consistent with the goals of the Paris Agreement. Research has shown that there are large challenges for LDCs in terms of capacity to access multilateral funding sources </w:t>
      </w:r>
      <w:r w:rsidRPr="00096A22">
        <w:fldChar w:fldCharType="begin"/>
      </w:r>
      <w:r w:rsidR="004A7123">
        <w:instrText xml:space="preserve"> ADDIN ZOTERO_ITEM CSL_CITATION {"citationID":"a39l647rp2","properties":{"formattedCitation":"(Adenle et al. 2017)","plainCitation":"(Adenle et al. 2017)","noteIndex":0},"citationItems":[{"id":"GGZNlT61/6ef3cuqL","uris":["http://zotero.org/users/4803578/items/5GNFM4QR"],"uri":["http://zotero.org/users/4803578/items/5GNFM4QR"],"itemData":{"id":128,"type":"article-journal","title":"Mitigating Climate Change in Africa: Barriers to Financing Low-Carbon Development","container-title":"World Development","page":"123–132","volume":"100","source":"Google Scholar","shortTitle":"Mitigating Climate Change in Africa","author":[{"family":"Adenle","given":"Ademola A."},{"family":"Manning","given":"Dale T."},{"family":"Arbiol","given":"Joseph"}],"issued":{"date-parts":[["2017"]]}}}],"schema":"https://github.com/citation-style-language/schema/raw/master/csl-citation.json"} </w:instrText>
      </w:r>
      <w:r w:rsidRPr="00096A22">
        <w:fldChar w:fldCharType="separate"/>
      </w:r>
      <w:r w:rsidR="004A7123" w:rsidRPr="007344DD">
        <w:rPr>
          <w:rFonts w:ascii="Calibri" w:hAnsi="Calibri" w:cs="Calibri"/>
        </w:rPr>
        <w:t>(Adenle et al. 2017)</w:t>
      </w:r>
      <w:r w:rsidRPr="00096A22">
        <w:fldChar w:fldCharType="end"/>
      </w:r>
      <w:r w:rsidRPr="00096A22">
        <w:t>. As the funds for climate action are ramped up</w:t>
      </w:r>
      <w:r w:rsidR="00AC753D">
        <w:t>,</w:t>
      </w:r>
      <w:r w:rsidRPr="00096A22">
        <w:t xml:space="preserve"> this issue will be an increasingly important area for study. </w:t>
      </w:r>
      <w:r w:rsidR="00AC753D" w:rsidRPr="007344DD">
        <w:rPr>
          <w:b/>
          <w:i/>
        </w:rPr>
        <w:t>One valuable way forward is</w:t>
      </w:r>
      <w:r w:rsidR="00AC753D">
        <w:t xml:space="preserve"> </w:t>
      </w:r>
      <w:r w:rsidR="00AC753D">
        <w:rPr>
          <w:b/>
          <w:i/>
        </w:rPr>
        <w:t>d</w:t>
      </w:r>
      <w:r w:rsidRPr="00096A22">
        <w:rPr>
          <w:b/>
          <w:i/>
        </w:rPr>
        <w:t xml:space="preserve">escriptive empirical evidence on the </w:t>
      </w:r>
      <w:r w:rsidR="00AC753D">
        <w:rPr>
          <w:b/>
          <w:i/>
        </w:rPr>
        <w:t>“</w:t>
      </w:r>
      <w:r w:rsidRPr="00096A22">
        <w:rPr>
          <w:b/>
          <w:i/>
        </w:rPr>
        <w:t>where</w:t>
      </w:r>
      <w:r w:rsidR="00AC753D">
        <w:rPr>
          <w:b/>
          <w:i/>
        </w:rPr>
        <w:t>”</w:t>
      </w:r>
      <w:r w:rsidRPr="00096A22">
        <w:rPr>
          <w:b/>
          <w:i/>
        </w:rPr>
        <w:t xml:space="preserve"> and </w:t>
      </w:r>
      <w:r w:rsidR="00AC753D">
        <w:rPr>
          <w:b/>
          <w:i/>
        </w:rPr>
        <w:t>“</w:t>
      </w:r>
      <w:r w:rsidRPr="00096A22">
        <w:rPr>
          <w:b/>
          <w:i/>
        </w:rPr>
        <w:t>what</w:t>
      </w:r>
      <w:r w:rsidR="00AC753D">
        <w:rPr>
          <w:b/>
          <w:i/>
        </w:rPr>
        <w:t>”</w:t>
      </w:r>
      <w:r w:rsidRPr="00096A22">
        <w:rPr>
          <w:b/>
          <w:i/>
        </w:rPr>
        <w:t xml:space="preserve"> of existing climate financing flows, combined with a better understanding of contex</w:t>
      </w:r>
      <w:r w:rsidR="00AC753D">
        <w:rPr>
          <w:b/>
          <w:i/>
        </w:rPr>
        <w:t>-</w:t>
      </w:r>
      <w:r w:rsidRPr="00096A22">
        <w:rPr>
          <w:b/>
          <w:i/>
        </w:rPr>
        <w:t xml:space="preserve"> specific challenges in individual LDCs </w:t>
      </w:r>
      <w:r w:rsidRPr="00096A22">
        <w:rPr>
          <w:b/>
          <w:i/>
        </w:rPr>
        <w:fldChar w:fldCharType="begin"/>
      </w:r>
      <w:r w:rsidR="004A7123">
        <w:rPr>
          <w:b/>
          <w:i/>
        </w:rPr>
        <w:instrText xml:space="preserve"> ADDIN ZOTERO_ITEM CSL_CITATION {"citationID":"a1kiiqsdfce","properties":{"formattedCitation":"(Atteridge et al. 2017)","plainCitation":"(Atteridge et al. 2017)","noteIndex":0},"citationItems":[{"id":"GGZNlT61/As9rGiWB","uris":["http://zotero.org/users/4803578/items/K2P24UWS"],"uri":["http://zotero.org/users/4803578/items/K2P24UWS"],"itemData":{"id":129,"type":"report","title":"Climate Finance in the Caribbean Region’s Small Island Developing States","publisher":"Stockholm Environment Institute","genre":"Working Paper","source":"Google Scholar","number":"2017-08.","author":[{"family":"Atteridge","given":"Aaron"},{"family":"Canales","given":"Nella"},{"family":"Savvidou","given":"Georgia"}],"issued":{"date-parts":[["2017"]]}}}],"schema":"https://github.com/citation-style-language/schema/raw/master/csl-citation.json"} </w:instrText>
      </w:r>
      <w:r w:rsidRPr="00096A22">
        <w:rPr>
          <w:b/>
          <w:i/>
        </w:rPr>
        <w:fldChar w:fldCharType="separate"/>
      </w:r>
      <w:r w:rsidR="004A7123" w:rsidRPr="007344DD">
        <w:rPr>
          <w:rFonts w:ascii="Calibri" w:hAnsi="Calibri" w:cs="Calibri"/>
        </w:rPr>
        <w:t>(Atteridge et al. 2017)</w:t>
      </w:r>
      <w:r w:rsidRPr="00096A22">
        <w:rPr>
          <w:b/>
          <w:i/>
        </w:rPr>
        <w:fldChar w:fldCharType="end"/>
      </w:r>
      <w:r w:rsidRPr="00096A22">
        <w:rPr>
          <w:b/>
          <w:i/>
        </w:rPr>
        <w:t>.</w:t>
      </w:r>
      <w:r w:rsidR="004A7123">
        <w:rPr>
          <w:b/>
          <w:i/>
        </w:rPr>
        <w:t xml:space="preserve"> </w:t>
      </w:r>
      <w:r w:rsidRPr="00096A22">
        <w:rPr>
          <w:b/>
          <w:i/>
        </w:rPr>
        <w:t>Research should investigate how significant technological transfer is within existing official international climate</w:t>
      </w:r>
      <w:r w:rsidR="00AC753D">
        <w:rPr>
          <w:b/>
          <w:i/>
        </w:rPr>
        <w:t xml:space="preserve"> and </w:t>
      </w:r>
      <w:r w:rsidRPr="00096A22">
        <w:rPr>
          <w:b/>
          <w:i/>
        </w:rPr>
        <w:t>SDG finance, and ask if there is any need to improve the ability of official international finances to catalyse technological transfer.</w:t>
      </w:r>
    </w:p>
    <w:p w14:paraId="2F25070D" w14:textId="7CC8E887" w:rsidR="00667874" w:rsidRPr="00096A22" w:rsidRDefault="00667874" w:rsidP="00667874">
      <w:r w:rsidRPr="00096A22">
        <w:t>For infrastructure development related to SDG achievement</w:t>
      </w:r>
      <w:r w:rsidR="008A031A">
        <w:t>,</w:t>
      </w:r>
      <w:r w:rsidRPr="00096A22">
        <w:t xml:space="preserve"> there are increasing calls for so</w:t>
      </w:r>
      <w:r w:rsidR="008A031A">
        <w:t>-</w:t>
      </w:r>
      <w:r w:rsidRPr="00096A22">
        <w:t xml:space="preserve">called blended finance models where public money is used to crowd in private capital </w:t>
      </w:r>
      <w:r w:rsidRPr="00096A22">
        <w:fldChar w:fldCharType="begin"/>
      </w:r>
      <w:r w:rsidR="004A7123">
        <w:instrText xml:space="preserve"> ADDIN ZOTERO_ITEM CSL_CITATION {"citationID":"a27rm4p0mfe","properties":{"formattedCitation":"(OECD 2018)","plainCitation":"(OECD 2018)","noteIndex":0},"citationItems":[{"id":"GGZNlT61/Tdt7Lqum","uris":["http://zotero.org/users/4803578/items/65RR7DHS"],"uri":["http://zotero.org/users/4803578/items/65RR7DHS"],"itemData":{"id":87,"type":"report","title":"Making Blended Finance Work for the Sustainable Development Goals","publisher":"OECD Publishing","publisher-place":"Paris","page":"176","source":"9789264288768","event-place":"Paris","author":[{"literal":"OECD"}],"issued":{"date-parts":[["2018"]]}}}],"schema":"https://github.com/citation-style-language/schema/raw/master/csl-citation.json"} </w:instrText>
      </w:r>
      <w:r w:rsidRPr="00096A22">
        <w:fldChar w:fldCharType="separate"/>
      </w:r>
      <w:r w:rsidR="004A7123" w:rsidRPr="007344DD">
        <w:rPr>
          <w:rFonts w:ascii="Calibri" w:hAnsi="Calibri" w:cs="Calibri"/>
        </w:rPr>
        <w:t>(OECD 2018)</w:t>
      </w:r>
      <w:r w:rsidRPr="00096A22">
        <w:fldChar w:fldCharType="end"/>
      </w:r>
      <w:r w:rsidRPr="00096A22">
        <w:t>. Public funds</w:t>
      </w:r>
      <w:r w:rsidR="008A031A">
        <w:t xml:space="preserve"> –</w:t>
      </w:r>
      <w:r w:rsidRPr="00096A22">
        <w:t xml:space="preserve"> via</w:t>
      </w:r>
      <w:r w:rsidR="008A031A">
        <w:t xml:space="preserve"> </w:t>
      </w:r>
      <w:r w:rsidRPr="00096A22">
        <w:t>development banks or national aid agencies,</w:t>
      </w:r>
      <w:r w:rsidR="008A031A">
        <w:t xml:space="preserve"> for example –</w:t>
      </w:r>
      <w:r w:rsidRPr="00096A22">
        <w:t xml:space="preserve"> are</w:t>
      </w:r>
      <w:r w:rsidR="008A031A">
        <w:t xml:space="preserve"> </w:t>
      </w:r>
      <w:r w:rsidRPr="00096A22">
        <w:t xml:space="preserve">used to offer various types of guarantees to de-risk investments in developing countries and crowd in private capital, hopefully at several multiples </w:t>
      </w:r>
      <w:r w:rsidR="002F64AA">
        <w:t>above</w:t>
      </w:r>
      <w:r w:rsidR="002F64AA" w:rsidRPr="00096A22">
        <w:t xml:space="preserve"> </w:t>
      </w:r>
      <w:r w:rsidRPr="00096A22">
        <w:t>the</w:t>
      </w:r>
      <w:r w:rsidR="002F64AA">
        <w:t xml:space="preserve"> available</w:t>
      </w:r>
      <w:r w:rsidRPr="00096A22">
        <w:t xml:space="preserve"> public funds. </w:t>
      </w:r>
      <w:r w:rsidR="002F64AA">
        <w:t>This not only</w:t>
      </w:r>
      <w:r w:rsidRPr="00096A22">
        <w:t xml:space="preserve"> catalys</w:t>
      </w:r>
      <w:r w:rsidR="002F64AA">
        <w:t>es</w:t>
      </w:r>
      <w:r w:rsidRPr="00096A22">
        <w:t xml:space="preserve"> increased funding</w:t>
      </w:r>
      <w:r w:rsidR="002F64AA">
        <w:t>,</w:t>
      </w:r>
      <w:r w:rsidRPr="00096A22">
        <w:t xml:space="preserve"> but </w:t>
      </w:r>
      <w:r w:rsidR="002F64AA">
        <w:t xml:space="preserve">it </w:t>
      </w:r>
      <w:r w:rsidRPr="00096A22">
        <w:t>also creat</w:t>
      </w:r>
      <w:r w:rsidR="002F64AA">
        <w:t>es</w:t>
      </w:r>
      <w:r w:rsidRPr="00096A22">
        <w:t xml:space="preserve"> investment track records and </w:t>
      </w:r>
      <w:r w:rsidR="002F64AA" w:rsidRPr="00096A22">
        <w:t>help</w:t>
      </w:r>
      <w:r w:rsidR="002F64AA">
        <w:t>s</w:t>
      </w:r>
      <w:r w:rsidR="002F64AA" w:rsidRPr="00096A22">
        <w:t xml:space="preserve"> </w:t>
      </w:r>
      <w:r w:rsidRPr="00096A22">
        <w:t xml:space="preserve">to improve local finance sectors and market conditions. </w:t>
      </w:r>
      <w:r w:rsidRPr="00096A22">
        <w:rPr>
          <w:b/>
          <w:i/>
        </w:rPr>
        <w:t>A recent report by the OECD calls for a better understanding of private investor perspectives on blended finance schemes, in particular</w:t>
      </w:r>
      <w:r w:rsidR="000A6008">
        <w:rPr>
          <w:b/>
          <w:i/>
        </w:rPr>
        <w:t xml:space="preserve"> on</w:t>
      </w:r>
      <w:r w:rsidRPr="00096A22">
        <w:rPr>
          <w:b/>
          <w:i/>
        </w:rPr>
        <w:t xml:space="preserve"> expectations o</w:t>
      </w:r>
      <w:r w:rsidR="000A6008">
        <w:rPr>
          <w:b/>
          <w:i/>
        </w:rPr>
        <w:t>f</w:t>
      </w:r>
      <w:r w:rsidRPr="00096A22">
        <w:rPr>
          <w:b/>
          <w:i/>
        </w:rPr>
        <w:t xml:space="preserve"> </w:t>
      </w:r>
      <w:r w:rsidR="000A6008">
        <w:rPr>
          <w:b/>
          <w:i/>
        </w:rPr>
        <w:t xml:space="preserve">the </w:t>
      </w:r>
      <w:r w:rsidRPr="00096A22">
        <w:rPr>
          <w:b/>
          <w:i/>
        </w:rPr>
        <w:t>risk</w:t>
      </w:r>
      <w:r w:rsidR="000A6008">
        <w:rPr>
          <w:b/>
          <w:i/>
        </w:rPr>
        <w:t xml:space="preserve"> and </w:t>
      </w:r>
      <w:r w:rsidRPr="00096A22">
        <w:rPr>
          <w:b/>
          <w:i/>
        </w:rPr>
        <w:t>return and the information needed to assess track</w:t>
      </w:r>
      <w:r w:rsidR="00DE657D">
        <w:rPr>
          <w:b/>
          <w:i/>
        </w:rPr>
        <w:t xml:space="preserve"> </w:t>
      </w:r>
      <w:r w:rsidRPr="00096A22">
        <w:rPr>
          <w:b/>
          <w:i/>
        </w:rPr>
        <w:t>records. There is also more research needed on the performance of blended finance schemes</w:t>
      </w:r>
      <w:r w:rsidR="000A6008">
        <w:rPr>
          <w:b/>
          <w:i/>
        </w:rPr>
        <w:t>;</w:t>
      </w:r>
      <w:r w:rsidRPr="00096A22">
        <w:rPr>
          <w:b/>
          <w:i/>
        </w:rPr>
        <w:t xml:space="preserve"> what instruments work in what contexts and why </w:t>
      </w:r>
      <w:r w:rsidRPr="00096A22">
        <w:rPr>
          <w:b/>
          <w:i/>
        </w:rPr>
        <w:fldChar w:fldCharType="begin"/>
      </w:r>
      <w:r w:rsidR="004A7123">
        <w:rPr>
          <w:b/>
          <w:i/>
        </w:rPr>
        <w:instrText xml:space="preserve"> ADDIN ZOTERO_ITEM CSL_CITATION {"citationID":"a2g43tqcdqi","properties":{"formattedCitation":"(OECD 2018)","plainCitation":"(OECD 2018)","noteIndex":0},"citationItems":[{"id":"GGZNlT61/Tdt7Lqum","uris":["http://zotero.org/users/4803578/items/65RR7DHS"],"uri":["http://zotero.org/users/4803578/items/65RR7DHS"],"itemData":{"id":87,"type":"report","title":"Making Blended Finance Work for the Sustainable Development Goals","publisher":"OECD Publishing","publisher-place":"Paris","page":"176","source":"9789264288768","event-place":"Paris","author":[{"literal":"OECD"}],"issued":{"date-parts":[["2018"]]}}}],"schema":"https://github.com/citation-style-language/schema/raw/master/csl-citation.json"} </w:instrText>
      </w:r>
      <w:r w:rsidRPr="00096A22">
        <w:rPr>
          <w:b/>
          <w:i/>
        </w:rPr>
        <w:fldChar w:fldCharType="separate"/>
      </w:r>
      <w:r w:rsidR="004A7123" w:rsidRPr="007344DD">
        <w:rPr>
          <w:rFonts w:ascii="Calibri" w:hAnsi="Calibri" w:cs="Calibri"/>
        </w:rPr>
        <w:t>(OECD 2018)</w:t>
      </w:r>
      <w:r w:rsidRPr="00096A22">
        <w:rPr>
          <w:b/>
          <w:i/>
        </w:rPr>
        <w:fldChar w:fldCharType="end"/>
      </w:r>
      <w:r w:rsidRPr="00096A22">
        <w:rPr>
          <w:b/>
          <w:i/>
        </w:rPr>
        <w:t>?</w:t>
      </w:r>
    </w:p>
    <w:p w14:paraId="3A8C5384" w14:textId="12C001B1" w:rsidR="00667874" w:rsidRPr="00096A22" w:rsidRDefault="00667874" w:rsidP="00667874">
      <w:r w:rsidRPr="00096A22">
        <w:t xml:space="preserve">In the context of SDGs, environmental regulation is one clear area where policy helps to create demand for technology transfer. Emissions standards and carbon prices are crucial for the diffusion of low-carbon technologies </w:t>
      </w:r>
      <w:r w:rsidRPr="00096A22">
        <w:fldChar w:fldCharType="begin"/>
      </w:r>
      <w:r w:rsidR="004A7123">
        <w:instrText xml:space="preserve"> ADDIN ZOTERO_ITEM CSL_CITATION {"citationID":"a117c90fa5a","properties":{"formattedCitation":"(Glachant and Dechezlepr\\uc0\\u234{}tre 2017)","plainCitation":"(Glachant and Dechezleprêtre 2017)","noteIndex":0},"citationItems":[{"id":"GGZNlT61/e115rI4Q","uris":["http://zotero.org/users/4803578/items/46ZXZT86"],"uri":["http://zotero.org/users/4803578/items/46ZXZT86"],"itemData":{"id":130,"type":"article-journal","title":"What role for climate negotiations on technology transfer?","container-title":"Climate Policy","page":"962–981","volume":"17","issue":"8","source":"Google Scholar","author":[{"family":"Glachant","given":"Matthieu"},{"family":"Dechezleprêtre","given":"Antoine"}],"issued":{"date-parts":[["2017"]]}}}],"schema":"https://github.com/citation-style-language/schema/raw/master/csl-citation.json"} </w:instrText>
      </w:r>
      <w:r w:rsidRPr="00096A22">
        <w:fldChar w:fldCharType="separate"/>
      </w:r>
      <w:r w:rsidR="004A7123" w:rsidRPr="007344DD">
        <w:rPr>
          <w:rFonts w:ascii="Calibri" w:hAnsi="Calibri" w:cs="Calibri"/>
          <w:szCs w:val="24"/>
        </w:rPr>
        <w:t>(Glachant and Dechezleprêtre 2017)</w:t>
      </w:r>
      <w:r w:rsidRPr="00096A22">
        <w:fldChar w:fldCharType="end"/>
      </w:r>
      <w:r w:rsidRPr="00096A22">
        <w:t xml:space="preserve">. Domestic environmental policy, </w:t>
      </w:r>
      <w:r w:rsidR="000A6008">
        <w:t>carbon prices</w:t>
      </w:r>
      <w:r w:rsidR="000A6008" w:rsidRPr="00096A22">
        <w:t xml:space="preserve"> </w:t>
      </w:r>
      <w:r w:rsidRPr="00096A22">
        <w:t>in other countries, and international carbon markets that generate the demand for technology diffusion are all important policy spheres. With respect to international carbon markets, research</w:t>
      </w:r>
      <w:r w:rsidR="000A6008">
        <w:t>ers</w:t>
      </w:r>
      <w:r w:rsidRPr="00096A22">
        <w:t xml:space="preserve"> note significant problems of </w:t>
      </w:r>
      <w:r w:rsidR="000A6008">
        <w:t>“</w:t>
      </w:r>
      <w:r w:rsidRPr="00096A22">
        <w:t>loopholes</w:t>
      </w:r>
      <w:r w:rsidR="000A6008">
        <w:t>”</w:t>
      </w:r>
      <w:r w:rsidRPr="00096A22">
        <w:t xml:space="preserve"> associated with emissions accounting methods and international emission credit</w:t>
      </w:r>
      <w:r w:rsidR="000A6008">
        <w:t>ing</w:t>
      </w:r>
      <w:r w:rsidRPr="00096A22">
        <w:t xml:space="preserve"> </w:t>
      </w:r>
      <w:r w:rsidRPr="00096A22">
        <w:lastRenderedPageBreak/>
        <w:t xml:space="preserve">mechanisms that risk negating countries’ emissions pledges </w:t>
      </w:r>
      <w:r w:rsidRPr="00096A22">
        <w:fldChar w:fldCharType="begin"/>
      </w:r>
      <w:r w:rsidR="004A7123">
        <w:instrText xml:space="preserve"> ADDIN ZOTERO_ITEM CSL_CITATION {"citationID":"a2k269bi752","properties":{"formattedCitation":"(Kartha and Erickson 2011)","plainCitation":"(Kartha and Erickson 2011)","noteIndex":0},"citationItems":[{"id":"GGZNlT61/xWo9QG8s","uris":["http://zotero.org/users/4803578/items/V8MGXUIG"],"uri":["http://zotero.org/users/4803578/items/V8MGXUIG"],"itemData":{"id":131,"type":"report","title":"Comparison of Annex 1 and non-Annex 1 pledges under the Cancun Agreements","publisher":"Stockholm Environment Institute","source":"Google Scholar","author":[{"family":"Kartha","given":"Sivan"},{"family":"Erickson","given":"Peter"}],"issued":{"date-parts":[["2011"]]}}}],"schema":"https://github.com/citation-style-language/schema/raw/master/csl-citation.json"} </w:instrText>
      </w:r>
      <w:r w:rsidRPr="00096A22">
        <w:fldChar w:fldCharType="separate"/>
      </w:r>
      <w:r w:rsidR="004A7123" w:rsidRPr="007344DD">
        <w:rPr>
          <w:rFonts w:ascii="Calibri" w:hAnsi="Calibri" w:cs="Calibri"/>
        </w:rPr>
        <w:t>(Kartha and Erickson 2011)</w:t>
      </w:r>
      <w:r w:rsidRPr="00096A22">
        <w:fldChar w:fldCharType="end"/>
      </w:r>
      <w:r w:rsidRPr="00096A22">
        <w:t xml:space="preserve">. Going forward, there is a debate as to whether and how climate markets should be linked internationally. </w:t>
      </w:r>
      <w:r w:rsidRPr="00096A22">
        <w:rPr>
          <w:b/>
          <w:i/>
        </w:rPr>
        <w:t>Because rapid diffusion of technologies is heavily dependent on effective policy incentives, more research is needed on how to design emissions markets so that we avoid previous shortfalls and effectively coordinate policies across jurisdictions.</w:t>
      </w:r>
    </w:p>
    <w:p w14:paraId="346CC7F8" w14:textId="32D147A2" w:rsidR="00667874" w:rsidRPr="00096A22" w:rsidRDefault="00667874" w:rsidP="00667874">
      <w:r w:rsidRPr="00096A22">
        <w:t>As noted above</w:t>
      </w:r>
      <w:r w:rsidR="000A6008">
        <w:t>,</w:t>
      </w:r>
      <w:r w:rsidRPr="00096A22">
        <w:t xml:space="preserve"> IPRs are a highly contentious political and research issue. Developing countries have argued that the international IPR regime (TRIPS) and </w:t>
      </w:r>
      <w:r w:rsidR="000A6008">
        <w:t xml:space="preserve">the </w:t>
      </w:r>
      <w:r w:rsidRPr="00096A22">
        <w:t>pressure to adopt strong IPR regimes domestically</w:t>
      </w:r>
      <w:r w:rsidR="000A6008">
        <w:t xml:space="preserve"> – </w:t>
      </w:r>
      <w:r w:rsidRPr="00096A22">
        <w:t>for</w:t>
      </w:r>
      <w:r w:rsidR="000A6008">
        <w:t xml:space="preserve"> </w:t>
      </w:r>
      <w:r w:rsidRPr="00096A22">
        <w:t>example</w:t>
      </w:r>
      <w:r w:rsidR="000A6008">
        <w:t>,</w:t>
      </w:r>
      <w:r w:rsidRPr="00096A22">
        <w:t xml:space="preserve"> through bilateral trade agreements</w:t>
      </w:r>
      <w:r w:rsidR="000A6008">
        <w:t xml:space="preserve"> –</w:t>
      </w:r>
      <w:r w:rsidRPr="00096A22">
        <w:t xml:space="preserve"> limits</w:t>
      </w:r>
      <w:r w:rsidR="000A6008">
        <w:t xml:space="preserve"> </w:t>
      </w:r>
      <w:r w:rsidRPr="00096A22">
        <w:t>their access to knowledge and technology and hinders development. The EU</w:t>
      </w:r>
      <w:r w:rsidR="000A6008">
        <w:t>,</w:t>
      </w:r>
      <w:r w:rsidRPr="00096A22">
        <w:t xml:space="preserve"> together with the US, Japan and other highly developed countries</w:t>
      </w:r>
      <w:r w:rsidR="000A6008">
        <w:t>,</w:t>
      </w:r>
      <w:r w:rsidRPr="00096A22">
        <w:t xml:space="preserve"> support strong IPRs as necessary for incentivising innovation, technological advancement, and ultimately productivity gains and growth. At the same time, it is clear that promoting technology transfer is a key aim of EU development policy. The European Commission has highlighted the importance of creating the enabling conditions for technology diffusion and supporting local development of innovation capacity in </w:t>
      </w:r>
      <w:r w:rsidR="000A6008">
        <w:t>aiding</w:t>
      </w:r>
      <w:r w:rsidR="000A6008" w:rsidRPr="00096A22">
        <w:t xml:space="preserve"> </w:t>
      </w:r>
      <w:r w:rsidRPr="00096A22">
        <w:t>the global partnership for sustainable development (SDG 17)</w:t>
      </w:r>
      <w:r w:rsidRPr="00096A22">
        <w:fldChar w:fldCharType="begin"/>
      </w:r>
      <w:r w:rsidR="004A7123">
        <w:instrText xml:space="preserve"> ADDIN ZOTERO_ITEM CSL_CITATION {"citationID":"av9ohd4gup","properties":{"formattedCitation":"(EC 2015)","plainCitation":"(EC 2015)","noteIndex":0},"citationItems":[{"id":"GGZNlT61/5MbOwxQl","uris":["http://zotero.org/users/4803578/items/94HL4PTI"],"uri":["http://zotero.org/users/4803578/items/94HL4PTI"],"itemData":{"id":136,"type":"article","title":"Communication From the Commission to the European Parliament, the Council, the European Economic and Social Committee and the Committee of the Regions on A Global Partnership for Poverty Eradication and Sustainable Development after 2015","URL":"https://ec.europa.eu/europeaid/sites/devco/files/com-2015-44-final-5-2-2015_en.pdf","author":[{"family":"EC","given":""}],"issued":{"date-parts":[["2015",2,3]]},"accessed":{"date-parts":[["2018",3,14]]}}}],"schema":"https://github.com/citation-style-language/schema/raw/master/csl-citation.json"} </w:instrText>
      </w:r>
      <w:r w:rsidRPr="00096A22">
        <w:fldChar w:fldCharType="separate"/>
      </w:r>
      <w:r w:rsidR="004A7123" w:rsidRPr="007344DD">
        <w:rPr>
          <w:rFonts w:ascii="Calibri" w:hAnsi="Calibri" w:cs="Calibri"/>
        </w:rPr>
        <w:t>(EC 2015)</w:t>
      </w:r>
      <w:r w:rsidRPr="00096A22">
        <w:fldChar w:fldCharType="end"/>
      </w:r>
      <w:r w:rsidRPr="00096A22">
        <w:t>. Likewise, the re</w:t>
      </w:r>
      <w:r w:rsidR="000A6008">
        <w:t>c</w:t>
      </w:r>
      <w:r w:rsidRPr="00096A22">
        <w:t xml:space="preserve">ent European Parliament resolution on the EU-Africa Strategy calls for lowering the barriers to technology transfer </w:t>
      </w:r>
      <w:r w:rsidRPr="00096A22">
        <w:fldChar w:fldCharType="begin"/>
      </w:r>
      <w:r w:rsidR="004A7123">
        <w:instrText xml:space="preserve"> ADDIN ZOTERO_ITEM CSL_CITATION {"citationID":"av5evh3meg","properties":{"formattedCitation":"(European Parliament 2017)","plainCitation":"(European Parliament 2017)","noteIndex":0},"citationItems":[{"id":"GGZNlT61/tapCfVDn","uris":["http://zotero.org/users/4803578/items/4YIE7FQJ"],"uri":["http://zotero.org/users/4803578/items/4YIE7FQJ"],"itemData":{"id":140,"type":"report","title":"European Parliament resolution of 16 November 2017 on the EU-Africa Strategy: a boost for development.","publisher":"European Parliament","URL":"http://www.europarl.europa.eu/sides/getDoc.do?type=TA&amp;language=EN&amp;reference=P8-TA-2017-0448","number":"2017/2083(INI)","language":"x§","author":[{"family":"European Parliament","given":""}],"issued":{"date-parts":[["2017",11,16]]},"accessed":{"date-parts":[["2018",3,20]]}}}],"schema":"https://github.com/citation-style-language/schema/raw/master/csl-citation.json"} </w:instrText>
      </w:r>
      <w:r w:rsidRPr="00096A22">
        <w:fldChar w:fldCharType="separate"/>
      </w:r>
      <w:r w:rsidR="004A7123" w:rsidRPr="007344DD">
        <w:rPr>
          <w:rFonts w:ascii="Calibri" w:hAnsi="Calibri" w:cs="Calibri"/>
        </w:rPr>
        <w:t>(European Parliament 2017)</w:t>
      </w:r>
      <w:r w:rsidRPr="00096A22">
        <w:fldChar w:fldCharType="end"/>
      </w:r>
      <w:r w:rsidRPr="00096A22">
        <w:t>.</w:t>
      </w:r>
    </w:p>
    <w:p w14:paraId="4C4046D7" w14:textId="73593E1E" w:rsidR="00667874" w:rsidRPr="00096A22" w:rsidRDefault="00667874" w:rsidP="00667874">
      <w:r w:rsidRPr="00096A22">
        <w:t xml:space="preserve">The evidence seems to suggest that stronger and more expansive IPRs do contribute to stronger innovation and technological advancement, but that it is only more developed and emerging economies that secure gains from strong IPR regimes </w:t>
      </w:r>
      <w:r w:rsidRPr="00096A22">
        <w:fldChar w:fldCharType="begin"/>
      </w:r>
      <w:r w:rsidR="004A7123">
        <w:instrText xml:space="preserve"> ADDIN ZOTERO_ITEM CSL_CITATION {"citationID":"a267rkpakuk","properties":{"formattedCitation":"(Sweet and Maggio 2015)","plainCitation":"(Sweet and Maggio 2015)","noteIndex":0},"citationItems":[{"id":"GGZNlT61/VKFlkRjF","uris":["http://zotero.org/users/4803578/items/8ID3SYG5"],"uri":["http://zotero.org/users/4803578/items/8ID3SYG5"],"itemData":{"id":132,"type":"article-journal","title":"Do stronger intellectual property rights increase innovation?","container-title":"World Development","page":"665–677","volume":"66","source":"Google Scholar","author":[{"family":"Sweet","given":"Cassandra Mehlig"},{"family":"Maggio","given":"Dalibor Sacha Eterovic"}],"issued":{"date-parts":[["2015"]]}}}],"schema":"https://github.com/citation-style-language/schema/raw/master/csl-citation.json"} </w:instrText>
      </w:r>
      <w:r w:rsidRPr="00096A22">
        <w:fldChar w:fldCharType="separate"/>
      </w:r>
      <w:r w:rsidR="004A7123" w:rsidRPr="007344DD">
        <w:rPr>
          <w:rFonts w:ascii="Calibri" w:hAnsi="Calibri" w:cs="Calibri"/>
        </w:rPr>
        <w:t>(Sweet and Maggio 2015)</w:t>
      </w:r>
      <w:r w:rsidRPr="00096A22">
        <w:fldChar w:fldCharType="end"/>
      </w:r>
      <w:r w:rsidRPr="00096A22">
        <w:t>. Likewise,</w:t>
      </w:r>
      <w:r w:rsidR="0094165A">
        <w:t xml:space="preserve"> </w:t>
      </w:r>
      <w:r w:rsidR="0094165A" w:rsidRPr="00096A22">
        <w:t>Gentile</w:t>
      </w:r>
      <w:r w:rsidRPr="00096A22">
        <w:t xml:space="preserve"> </w:t>
      </w:r>
      <w:r w:rsidRPr="00096A22">
        <w:fldChar w:fldCharType="begin"/>
      </w:r>
      <w:r w:rsidR="004A7123">
        <w:instrText xml:space="preserve"> ADDIN ZOTERO_ITEM CSL_CITATION {"citationID":"a1oitln3vdq","properties":{"formattedCitation":"(Gentile 2017)","plainCitation":"(Gentile 2017)","noteIndex":0},"citationItems":[{"id":"GGZNlT61/cA9AHZkC","uris":["http://zotero.org/users/4803578/items/9L7IAZIR"],"uri":["http://zotero.org/users/4803578/items/9L7IAZIR"],"itemData":{"id":44,"type":"article-journal","title":"Intellectual Property Rights and Foreign Technology Licensing in Developing Countries: An Empirical Investigation","container-title":"ADB Economics Working Paper Series","issue":"515","source":"Google Scholar","shortTitle":"Intellectual Property Rights and Foreign Technology Licensing in Developing Countries","author":[{"family":"Gentile","given":"Elisabetta"}],"issued":{"date-parts":[["2017"]]}}}],"schema":"https://github.com/citation-style-language/schema/raw/master/csl-citation.json"} </w:instrText>
      </w:r>
      <w:r w:rsidRPr="00096A22">
        <w:fldChar w:fldCharType="separate"/>
      </w:r>
      <w:r w:rsidR="004A7123" w:rsidRPr="007344DD">
        <w:rPr>
          <w:rFonts w:ascii="Calibri" w:hAnsi="Calibri" w:cs="Calibri"/>
        </w:rPr>
        <w:t>(2017)</w:t>
      </w:r>
      <w:r w:rsidRPr="00096A22">
        <w:fldChar w:fldCharType="end"/>
      </w:r>
      <w:r w:rsidRPr="00096A22">
        <w:t xml:space="preserve"> finds that strengthening IPR protections in developing countries</w:t>
      </w:r>
      <w:r w:rsidR="0094165A">
        <w:t xml:space="preserve"> </w:t>
      </w:r>
      <w:r w:rsidRPr="00096A22">
        <w:t>increase</w:t>
      </w:r>
      <w:r w:rsidR="0094165A">
        <w:t>s</w:t>
      </w:r>
      <w:r w:rsidRPr="00096A22">
        <w:t xml:space="preserve"> the licensing of foreign technologies but that there is no significant correlation between stronger IPRs and licensing in low-income countries </w:t>
      </w:r>
      <w:r w:rsidRPr="00096A22">
        <w:fldChar w:fldCharType="begin"/>
      </w:r>
      <w:r w:rsidR="004A7123">
        <w:instrText xml:space="preserve"> ADDIN ZOTERO_ITEM CSL_CITATION {"citationID":"a2lmgejgs6j","properties":{"formattedCitation":"(UNEP 2010)","plainCitation":"(UNEP 2010)","noteIndex":0},"citationItems":[{"id":"GGZNlT61/lNmH8TTI","uris":["http://zotero.org/users/4803578/items/AKIPXLD2"],"uri":["http://zotero.org/users/4803578/items/AKIPXLD2"],"itemData":{"id":45,"type":"article-journal","title":"Patents and Clean Energy: Bridging the Gap Between Evidence and Policy: Final Report","container-title":"Geneva, Munich: United Nations Environment Programme (UNEP) Economics and Trade Branch, European Patent Office (EPO), International Centre for Trade and Sustainable Development (ICTSD)","source":"Google Scholar","shortTitle":"Patents and Clean Energy","author":[{"family":"UNEP","given":"E. ICTSD"}],"issued":{"date-parts":[["2010"]]}}}],"schema":"https://github.com/citation-style-language/schema/raw/master/csl-citation.json"} </w:instrText>
      </w:r>
      <w:r w:rsidRPr="00096A22">
        <w:fldChar w:fldCharType="separate"/>
      </w:r>
      <w:r w:rsidR="004A7123" w:rsidRPr="007344DD">
        <w:rPr>
          <w:rFonts w:ascii="Calibri" w:hAnsi="Calibri" w:cs="Calibri"/>
        </w:rPr>
        <w:t>(UNEP 2010)</w:t>
      </w:r>
      <w:r w:rsidRPr="00096A22">
        <w:fldChar w:fldCharType="end"/>
      </w:r>
      <w:r w:rsidRPr="00096A22">
        <w:t xml:space="preserve">. Local market and institutional conditions appear to be more important in LDC contexts. </w:t>
      </w:r>
      <w:r w:rsidRPr="00096A22">
        <w:rPr>
          <w:b/>
          <w:i/>
        </w:rPr>
        <w:t>More research is needed to understand in what ways IPR regimes can best be designed to help moderate obstacles in LDCs.</w:t>
      </w:r>
    </w:p>
    <w:p w14:paraId="58EA8676" w14:textId="00C908D0" w:rsidR="00667874" w:rsidRPr="00096A22" w:rsidRDefault="00667874" w:rsidP="00667874">
      <w:r w:rsidRPr="00096A22">
        <w:t>The impact of IPRs appear</w:t>
      </w:r>
      <w:r w:rsidR="0094165A">
        <w:t>s</w:t>
      </w:r>
      <w:r w:rsidRPr="00096A22">
        <w:t xml:space="preserve"> to differ across sectors. For example, the empirical evidence suggests that strong IPRs can be a barrier to access to medicines in developing countries and do not help to incentivise the development of medicines and treatments most needed in developing countries </w:t>
      </w:r>
      <w:r w:rsidRPr="00096A22">
        <w:fldChar w:fldCharType="begin"/>
      </w:r>
      <w:r w:rsidR="004A7123">
        <w:instrText xml:space="preserve"> ADDIN ZOTERO_ITEM CSL_CITATION {"citationID":"a5rvq07ii8","properties":{"formattedCitation":"(2010)","plainCitation":"(2010)","noteIndex":0},"citationItems":[{"id":"GGZNlT61/sE1srgak","uris":["http://zotero.org/users/4803578/items/IKWZW547"],"uri":["http://zotero.org/users/4803578/items/IKWZW547"],"itemData":{"id":133,"type":"report","title":"Intellectual property and developing countries","publisher":"RAND Corporation","source":"Google Scholar","author":[{"family":"Hassan","given":"Emmanuel"},{"family":"Yaqub","given":"Ohid"},{"family":"Diepeveen","given":"Stephanie"}],"issued":{"date-parts":[["2010"]]}}}],"schema":"https://github.com/citation-style-language/schema/raw/master/csl-citation.json"} </w:instrText>
      </w:r>
      <w:r w:rsidRPr="00096A22">
        <w:fldChar w:fldCharType="separate"/>
      </w:r>
      <w:r w:rsidR="004A7123" w:rsidRPr="007344DD">
        <w:rPr>
          <w:rFonts w:ascii="Calibri" w:hAnsi="Calibri" w:cs="Calibri"/>
        </w:rPr>
        <w:t>(</w:t>
      </w:r>
      <w:r w:rsidR="00257B38">
        <w:rPr>
          <w:rFonts w:ascii="Calibri" w:hAnsi="Calibri" w:cs="Calibri"/>
        </w:rPr>
        <w:t xml:space="preserve">Hassan et al. </w:t>
      </w:r>
      <w:r w:rsidR="004A7123" w:rsidRPr="007344DD">
        <w:rPr>
          <w:rFonts w:ascii="Calibri" w:hAnsi="Calibri" w:cs="Calibri"/>
        </w:rPr>
        <w:t>2010)</w:t>
      </w:r>
      <w:r w:rsidRPr="00096A22">
        <w:fldChar w:fldCharType="end"/>
      </w:r>
      <w:r w:rsidRPr="00096A22">
        <w:t>. With respect to clean energy technologies</w:t>
      </w:r>
      <w:r w:rsidR="0094165A">
        <w:t>,</w:t>
      </w:r>
      <w:r w:rsidRPr="00096A22">
        <w:t xml:space="preserve"> the impacts of IPRs do not appear to be as problematic </w:t>
      </w:r>
      <w:r w:rsidRPr="00096A22">
        <w:fldChar w:fldCharType="begin"/>
      </w:r>
      <w:r w:rsidR="004A7123">
        <w:instrText xml:space="preserve"> ADDIN ZOTERO_ITEM CSL_CITATION {"citationID":"QC7hlruR","properties":{"formattedCitation":"(Abdel-Latif 2015; Rai et al. 2014)","plainCitation":"(Abdel-Latif 2015; Rai et al. 2014)","noteIndex":0},"citationItems":[{"id":"GGZNlT61/OS7NIn2F","uris":["http://zotero.org/users/local/dajQ5TWW/items/E5EZJNL2"],"uri":["http://zotero.org/users/local/dajQ5TWW/items/E5EZJNL2"],"itemData":{"id":40,"type":"article-journal","title":"Intellectual property rights and the transfer of climate change technologies: issues, challenges, and way forward","container-title":"Climate Policy","page":"103-126","volume":"15","issue":"1","source":"Taylor and Francis+NEJM","abstract":"The role of intellectual property rights (IPRs) in the development and transfer of climate change technologies has been a contentious issue in negotiations under the United Nations Framework Convention on Climate Change (UNFCCC). Irreconcilable differences seem to oppose those who believe IPRs are an inherent barrier to the transfer of climate change technologies and those who argue they are an essential incentive to innovation. After providing an overview of the polarized debate on this issue, this article reviews the existing literature and empirical evidence and looks into some practical initiatives and recent developments. Finally, it seeks to identify a way forward that could help overcome the current stalemate in international deliberations by suggesting a number of parameters to structure the discussion on this complex issue.","DOI":"10.1080/14693062.2014.951919","ISSN":"1469-3062","shortTitle":"Intellectual property rights and the transfer of climate change technologies","author":[{"family":"Abdel-Latif","given":"Ahmed"}],"issued":{"date-parts":[["2015",1,2]]}}},{"id":"GGZNlT61/NtPBCgCP","uris":["http://zotero.org/users/4803578/items/7SBFGRH5"],"uri":["http://zotero.org/users/4803578/items/7SBFGRH5"],"itemData":{"id":39,"type":"article-journal","title":"International low carbon technology transfer: Do intellectual property regimes matter?","container-title":"Global Environmental Change","page":"60-74","volume":"24","issue":"Supplement C","source":"ScienceDirect","abstract":"Transfer of low carbon technologies to developing countries has been recognized as important in global efforts to limit climate change. Yet the mechanics of international technology transfer, especially around intellectual property rights, have remained a controversial issue in international negotiations. Using a new dataset on international partnerships in China and India in three key low carbon technologies—solar photovoltaics, electric vehicles, and coal gasification/integrated gasification combined cycle—and complementary expert interviews we study the dynamics of the transfer of intellectual property and the underlying drivers that guide the development of business strategies and partnerships in the context of transitioning intellectual property regimes in emerging markets. We find that weak intellectual property regimes are indeed a hindrance to the diffusion of certain classes of low carbon technologies: (i) for cutting-edge technologies, (ii) for fully-embodied (explicitly codified) technologies, and (iii) for small firms. However, we also find that intellectual property issues do not represent a barrier to the diffusion of the relatively mature and low to medium cost low carbon technologies that are materially (at scale) most important for carbon dioxide emissions reduction in the short to medium term. Competitive technology supply, shifting market dynamics, and increasingly vigorous domestic innovation coupled with mechanisms and opportunities to structure credible intellectual property deals allow for the diffusion of key low carbon technologies to occur within the context of existing business, political, and institutional structures.","DOI":"10.1016/j.gloenvcha.2013.10.004","ISSN":"0959-3780","shortTitle":"International low carbon technology transfer","journalAbbreviation":"Global Environmental Change","author":[{"family":"Rai","given":"Varun"},{"family":"Schultz","given":"Kaye"},{"family":"Funkhouser","given":"Erik"}],"issued":{"date-parts":[["2014",1,1]]}}}],"schema":"https://github.com/citation-style-language/schema/raw/master/csl-citation.json"} </w:instrText>
      </w:r>
      <w:r w:rsidRPr="00096A22">
        <w:fldChar w:fldCharType="separate"/>
      </w:r>
      <w:r w:rsidR="004A7123" w:rsidRPr="007344DD">
        <w:rPr>
          <w:rFonts w:ascii="Calibri" w:hAnsi="Calibri" w:cs="Calibri"/>
        </w:rPr>
        <w:t>(Abdel-Latif 2015; Rai et al. 2014)</w:t>
      </w:r>
      <w:r w:rsidRPr="00096A22">
        <w:fldChar w:fldCharType="end"/>
      </w:r>
      <w:r w:rsidRPr="00096A22">
        <w:t>. Competition between patented products in the same sector and the availability of several energy sources appear to help reduce the impact of IPRs on access.</w:t>
      </w:r>
      <w:r w:rsidR="004A7123">
        <w:t xml:space="preserve"> </w:t>
      </w:r>
      <w:r w:rsidRPr="00096A22">
        <w:rPr>
          <w:b/>
          <w:i/>
        </w:rPr>
        <w:t>These results suggest the need for a mapping of the technology needs for achieving the SDGs by sector</w:t>
      </w:r>
      <w:r w:rsidR="0094165A">
        <w:rPr>
          <w:b/>
          <w:i/>
        </w:rPr>
        <w:t>,</w:t>
      </w:r>
      <w:r w:rsidRPr="00096A22">
        <w:rPr>
          <w:b/>
          <w:i/>
        </w:rPr>
        <w:t xml:space="preserve"> followed by sector</w:t>
      </w:r>
      <w:r w:rsidR="0094165A">
        <w:rPr>
          <w:b/>
          <w:i/>
        </w:rPr>
        <w:t>-</w:t>
      </w:r>
      <w:r w:rsidRPr="00096A22">
        <w:rPr>
          <w:b/>
          <w:i/>
        </w:rPr>
        <w:t>specific analysis of the potential impacts of IPR on SDG achievement</w:t>
      </w:r>
      <w:r w:rsidRPr="00096A22">
        <w:rPr>
          <w:b/>
        </w:rPr>
        <w:t>.</w:t>
      </w:r>
      <w:r w:rsidRPr="00096A22">
        <w:t xml:space="preserve"> </w:t>
      </w:r>
      <w:r w:rsidRPr="00096A22">
        <w:rPr>
          <w:b/>
          <w:i/>
        </w:rPr>
        <w:t>In addition to being sector</w:t>
      </w:r>
      <w:r w:rsidR="0094165A">
        <w:rPr>
          <w:b/>
          <w:i/>
        </w:rPr>
        <w:t>-</w:t>
      </w:r>
      <w:r w:rsidRPr="00096A22">
        <w:rPr>
          <w:b/>
          <w:i/>
        </w:rPr>
        <w:t>specific, these analyses should also be disaggregated between levels of development.</w:t>
      </w:r>
    </w:p>
    <w:p w14:paraId="38354D56" w14:textId="2E030D5D" w:rsidR="00667874" w:rsidRPr="00096A22" w:rsidRDefault="00667874" w:rsidP="00667874">
      <w:pPr>
        <w:rPr>
          <w:b/>
          <w:i/>
        </w:rPr>
      </w:pPr>
      <w:r w:rsidRPr="00096A22">
        <w:t>In a recent literature review</w:t>
      </w:r>
      <w:r w:rsidR="0094165A">
        <w:t>,</w:t>
      </w:r>
      <w:r w:rsidRPr="00096A22">
        <w:t xml:space="preserve"> </w:t>
      </w:r>
      <w:r w:rsidR="0094165A" w:rsidRPr="00096A22">
        <w:t xml:space="preserve">Abdel-Latif </w:t>
      </w:r>
      <w:r w:rsidRPr="00096A22">
        <w:fldChar w:fldCharType="begin"/>
      </w:r>
      <w:r w:rsidR="004A7123">
        <w:instrText xml:space="preserve"> ADDIN ZOTERO_ITEM CSL_CITATION {"citationID":"a2o8t4rhja0","properties":{"formattedCitation":"(Abdel-Latif 2015)","plainCitation":"(Abdel-Latif 2015)","noteIndex":0},"citationItems":[{"id":"GGZNlT61/OS7NIn2F","uris":["http://zotero.org/users/local/dajQ5TWW/items/E5EZJNL2"],"uri":["http://zotero.org/users/local/dajQ5TWW/items/E5EZJNL2"],"itemData":{"id":40,"type":"article-journal","title":"Intellectual property rights and the transfer of climate change technologies: issues, challenges, and way forward","container-title":"Climate Policy","page":"103-126","volume":"15","issue":"1","source":"Taylor and Francis+NEJM","abstract":"The role of intellectual property rights (IPRs) in the development and transfer of climate change technologies has been a contentious issue in negotiations under the United Nations Framework Convention on Climate Change (UNFCCC). Irreconcilable differences seem to oppose those who believe IPRs are an inherent barrier to the transfer of climate change technologies and those who argue they are an essential incentive to innovation. After providing an overview of the polarized debate on this issue, this article reviews the existing literature and empirical evidence and looks into some practical initiatives and recent developments. Finally, it seeks to identify a way forward that could help overcome the current stalemate in international deliberations by suggesting a number of parameters to structure the discussion on this complex issue.","DOI":"10.1080/14693062.2014.951919","ISSN":"1469-3062","shortTitle":"Intellectual property rights and the transfer of climate change technologies","author":[{"family":"Abdel-Latif","given":"Ahmed"}],"issued":{"date-parts":[["2015",1,2]]}}}],"schema":"https://github.com/citation-style-language/schema/raw/master/csl-citation.json"} </w:instrText>
      </w:r>
      <w:r w:rsidRPr="00096A22">
        <w:fldChar w:fldCharType="separate"/>
      </w:r>
      <w:r w:rsidR="004A7123" w:rsidRPr="007344DD">
        <w:rPr>
          <w:rFonts w:ascii="Calibri" w:hAnsi="Calibri" w:cs="Calibri"/>
        </w:rPr>
        <w:t>(2015)</w:t>
      </w:r>
      <w:r w:rsidRPr="00096A22">
        <w:fldChar w:fldCharType="end"/>
      </w:r>
      <w:r w:rsidRPr="00096A22">
        <w:t xml:space="preserve"> argues that empirical results on the impact of IPRs in developing countries should be treated with caution due to data gaps, the limited timeframes of existing studies, and insufficient indicators</w:t>
      </w:r>
      <w:r w:rsidR="00653E56">
        <w:t xml:space="preserve"> and </w:t>
      </w:r>
      <w:r w:rsidRPr="00096A22">
        <w:t xml:space="preserve">proxies for measuring access to technology. </w:t>
      </w:r>
      <w:r w:rsidRPr="00096A22">
        <w:rPr>
          <w:b/>
          <w:i/>
        </w:rPr>
        <w:t>More research is needed to address each of these weaknesses. As well, there is a research gap on the impacts of IPRs on access to adaptation</w:t>
      </w:r>
      <w:r w:rsidR="00653E56">
        <w:rPr>
          <w:b/>
          <w:i/>
        </w:rPr>
        <w:t>-</w:t>
      </w:r>
      <w:r w:rsidRPr="00096A22">
        <w:rPr>
          <w:b/>
          <w:i/>
        </w:rPr>
        <w:t xml:space="preserve">oriented technologies </w:t>
      </w:r>
      <w:r w:rsidRPr="00096A22">
        <w:rPr>
          <w:b/>
          <w:i/>
        </w:rPr>
        <w:fldChar w:fldCharType="begin"/>
      </w:r>
      <w:r w:rsidR="004A7123">
        <w:rPr>
          <w:b/>
          <w:i/>
        </w:rPr>
        <w:instrText xml:space="preserve"> ADDIN ZOTERO_ITEM CSL_CITATION {"citationID":"a2ddt6nugnb","properties":{"formattedCitation":"(Abdel-Latif 2015)","plainCitation":"(Abdel-Latif 2015)","noteIndex":0},"citationItems":[{"id":"GGZNlT61/OS7NIn2F","uris":["http://zotero.org/users/local/dajQ5TWW/items/E5EZJNL2"],"uri":["http://zotero.org/users/local/dajQ5TWW/items/E5EZJNL2"],"itemData":{"id":40,"type":"article-journal","title":"Intellectual property rights and the transfer of climate change technologies: issues, challenges, and way forward","container-title":"Climate Policy","page":"103-126","volume":"15","issue":"1","source":"Taylor and Francis+NEJM","abstract":"The role of intellectual property rights (IPRs) in the development and transfer of climate change technologies has been a contentious issue in negotiations under the United Nations Framework Convention on Climate Change (UNFCCC). Irreconcilable differences seem to oppose those who believe IPRs are an inherent barrier to the transfer of climate change technologies and those who argue they are an essential incentive to innovation. After providing an overview of the polarized debate on this issue, this article reviews the existing literature and empirical evidence and looks into some practical initiatives and recent developments. Finally, it seeks to identify a way forward that could help overcome the current stalemate in international deliberations by suggesting a number of parameters to structure the discussion on this complex issue.","DOI":"10.1080/14693062.2014.951919","ISSN":"1469-3062","shortTitle":"Intellectual property rights and the transfer of climate change technologies","author":[{"family":"Abdel-Latif","given":"Ahmed"}],"issued":{"date-parts":[["2015",1,2]]}}}],"schema":"https://github.com/citation-style-language/schema/raw/master/csl-citation.json"} </w:instrText>
      </w:r>
      <w:r w:rsidRPr="00096A22">
        <w:rPr>
          <w:b/>
          <w:i/>
        </w:rPr>
        <w:fldChar w:fldCharType="separate"/>
      </w:r>
      <w:r w:rsidR="004A7123" w:rsidRPr="007344DD">
        <w:rPr>
          <w:rFonts w:ascii="Calibri" w:hAnsi="Calibri" w:cs="Calibri"/>
        </w:rPr>
        <w:t>(Abdel-Latif 2015)</w:t>
      </w:r>
      <w:r w:rsidRPr="00096A22">
        <w:rPr>
          <w:b/>
          <w:i/>
        </w:rPr>
        <w:fldChar w:fldCharType="end"/>
      </w:r>
      <w:r w:rsidRPr="00096A22">
        <w:rPr>
          <w:b/>
          <w:i/>
        </w:rPr>
        <w:t>.</w:t>
      </w:r>
    </w:p>
    <w:p w14:paraId="6FE4A85E" w14:textId="767FCDA1" w:rsidR="00667874" w:rsidRPr="00096A22" w:rsidRDefault="00653E56" w:rsidP="00667874">
      <w:r w:rsidRPr="00096A22">
        <w:lastRenderedPageBreak/>
        <w:t xml:space="preserve">Rai and Funkhouser </w:t>
      </w:r>
      <w:r w:rsidR="00667874" w:rsidRPr="00096A22">
        <w:fldChar w:fldCharType="begin"/>
      </w:r>
      <w:r w:rsidR="004A7123">
        <w:instrText xml:space="preserve"> ADDIN ZOTERO_ITEM CSL_CITATION {"citationID":"asc0rebp5h","properties":{"formattedCitation":"(Rai and Funkhouser 2015)","plainCitation":"(Rai and Funkhouser 2015)","noteIndex":0},"citationItems":[{"id":"GGZNlT61/UXYNQ4Ln","uris":["http://zotero.org/users/4803578/items/S2NDKDVB"],"uri":["http://zotero.org/users/4803578/items/S2NDKDVB"],"itemData":{"id":134,"type":"article-journal","title":"Emerging insights on the dynamic drivers of international low-carbon technology transfer","container-title":"Renewable and Sustainable Energy Reviews","page":"350–364","volume":"49","source":"Google Scholar","author":[{"family":"Rai","given":"Varun"},{"family":"Funkhouser","given":"Erik"}],"issued":{"date-parts":[["2015"]]}}}],"schema":"https://github.com/citation-style-language/schema/raw/master/csl-citation.json"} </w:instrText>
      </w:r>
      <w:r w:rsidR="00667874" w:rsidRPr="00096A22">
        <w:fldChar w:fldCharType="separate"/>
      </w:r>
      <w:r w:rsidR="004A7123" w:rsidRPr="007344DD">
        <w:rPr>
          <w:rFonts w:ascii="Calibri" w:hAnsi="Calibri" w:cs="Calibri"/>
        </w:rPr>
        <w:t>(2015)</w:t>
      </w:r>
      <w:r w:rsidR="00667874" w:rsidRPr="00096A22">
        <w:fldChar w:fldCharType="end"/>
      </w:r>
      <w:r w:rsidR="00667874" w:rsidRPr="00096A22">
        <w:t xml:space="preserve"> point to evidence showing firm partnerships to be important for transferring both knowledge and technology. </w:t>
      </w:r>
      <w:r w:rsidR="00667874" w:rsidRPr="00096A22">
        <w:rPr>
          <w:b/>
          <w:i/>
        </w:rPr>
        <w:t>They argue that we need a better understanding of what motivates firms to enter into technology transfer partnerships.</w:t>
      </w:r>
      <w:r w:rsidR="00667874" w:rsidRPr="00096A22">
        <w:t xml:space="preserve"> They also argue that there should be more research on the relationship between policy and low-carbon technology (LCT) transfer. </w:t>
      </w:r>
      <w:r w:rsidR="00667874" w:rsidRPr="00096A22">
        <w:rPr>
          <w:b/>
          <w:i/>
        </w:rPr>
        <w:t>For example, they ask</w:t>
      </w:r>
      <w:r w:rsidR="004B274C">
        <w:rPr>
          <w:b/>
          <w:i/>
        </w:rPr>
        <w:t>:</w:t>
      </w:r>
      <w:r w:rsidR="00667874" w:rsidRPr="00096A22">
        <w:rPr>
          <w:b/>
          <w:i/>
        </w:rPr>
        <w:t xml:space="preserve"> to what extent do supply-side incentives for LCTs in developing countries succeed in also broadening domestic productive and innovation capacity?</w:t>
      </w:r>
      <w:r w:rsidR="00667874" w:rsidRPr="00096A22">
        <w:t xml:space="preserve"> </w:t>
      </w:r>
      <w:r w:rsidR="00667874" w:rsidRPr="00096A22">
        <w:rPr>
          <w:b/>
          <w:i/>
        </w:rPr>
        <w:t>The authors call for more sectoral and firm</w:t>
      </w:r>
      <w:r w:rsidR="004B274C">
        <w:rPr>
          <w:b/>
          <w:i/>
        </w:rPr>
        <w:t>-</w:t>
      </w:r>
      <w:r w:rsidR="00667874" w:rsidRPr="00096A22">
        <w:rPr>
          <w:b/>
          <w:i/>
        </w:rPr>
        <w:t xml:space="preserve">level studies on absorptive capacity of developing country LCT industries </w:t>
      </w:r>
      <w:r w:rsidR="00667874" w:rsidRPr="00096A22">
        <w:rPr>
          <w:b/>
          <w:i/>
        </w:rPr>
        <w:fldChar w:fldCharType="begin"/>
      </w:r>
      <w:r w:rsidR="004A7123">
        <w:rPr>
          <w:b/>
          <w:i/>
        </w:rPr>
        <w:instrText xml:space="preserve"> ADDIN ZOTERO_ITEM CSL_CITATION {"citationID":"a2bordhnff7","properties":{"formattedCitation":"(Rai and Funkhouser 2015)","plainCitation":"(Rai and Funkhouser 2015)","noteIndex":0},"citationItems":[{"id":"GGZNlT61/UXYNQ4Ln","uris":["http://zotero.org/users/4803578/items/S2NDKDVB"],"uri":["http://zotero.org/users/4803578/items/S2NDKDVB"],"itemData":{"id":134,"type":"article-journal","title":"Emerging insights on the dynamic drivers of international low-carbon technology transfer","container-title":"Renewable and Sustainable Energy Reviews","page":"350–364","volume":"49","source":"Google Scholar","author":[{"family":"Rai","given":"Varun"},{"family":"Funkhouser","given":"Erik"}],"issued":{"date-parts":[["2015"]]}}}],"schema":"https://github.com/citation-style-language/schema/raw/master/csl-citation.json"} </w:instrText>
      </w:r>
      <w:r w:rsidR="00667874" w:rsidRPr="00096A22">
        <w:rPr>
          <w:b/>
          <w:i/>
        </w:rPr>
        <w:fldChar w:fldCharType="separate"/>
      </w:r>
      <w:r w:rsidR="004A7123" w:rsidRPr="007344DD">
        <w:rPr>
          <w:rFonts w:ascii="Calibri" w:hAnsi="Calibri" w:cs="Calibri"/>
        </w:rPr>
        <w:t>(Rai and Funkhouser 2015)</w:t>
      </w:r>
      <w:r w:rsidR="00667874" w:rsidRPr="00096A22">
        <w:rPr>
          <w:b/>
          <w:i/>
        </w:rPr>
        <w:fldChar w:fldCharType="end"/>
      </w:r>
      <w:r w:rsidR="00667874" w:rsidRPr="00096A22">
        <w:rPr>
          <w:b/>
          <w:i/>
        </w:rPr>
        <w:t>.</w:t>
      </w:r>
      <w:r w:rsidR="004A7123">
        <w:t xml:space="preserve"> </w:t>
      </w:r>
      <w:r w:rsidR="00667874" w:rsidRPr="00096A22">
        <w:t>This is because existing knowledge is based on studies from a limited number of sectors and countries, while we know that adoptive capacity is very dependent on</w:t>
      </w:r>
      <w:r w:rsidR="004B274C">
        <w:t xml:space="preserve"> factors at the</w:t>
      </w:r>
      <w:r w:rsidR="00667874" w:rsidRPr="00096A22">
        <w:t xml:space="preserve"> country, regional, and firm level</w:t>
      </w:r>
      <w:r w:rsidR="004B274C">
        <w:t>s</w:t>
      </w:r>
      <w:r w:rsidR="00667874" w:rsidRPr="00096A22">
        <w:t xml:space="preserve">. </w:t>
      </w:r>
      <w:r w:rsidR="00667874" w:rsidRPr="00096A22">
        <w:rPr>
          <w:b/>
          <w:i/>
        </w:rPr>
        <w:t xml:space="preserve">Thus, what is </w:t>
      </w:r>
      <w:r w:rsidR="004B274C">
        <w:rPr>
          <w:b/>
          <w:i/>
        </w:rPr>
        <w:t xml:space="preserve">needed </w:t>
      </w:r>
      <w:r w:rsidR="00667874" w:rsidRPr="00096A22">
        <w:rPr>
          <w:b/>
          <w:i/>
        </w:rPr>
        <w:t>is both the identification of the most important channels of technology transfer</w:t>
      </w:r>
      <w:r w:rsidR="004B274C">
        <w:rPr>
          <w:b/>
          <w:i/>
        </w:rPr>
        <w:t>, as well as</w:t>
      </w:r>
      <w:r w:rsidR="00667874" w:rsidRPr="00096A22">
        <w:rPr>
          <w:b/>
          <w:i/>
        </w:rPr>
        <w:t xml:space="preserve"> studies assessing these channels in a wide variety of contexts.</w:t>
      </w:r>
    </w:p>
    <w:p w14:paraId="321C0CF8" w14:textId="77777777" w:rsidR="006648C2" w:rsidRPr="00096A22" w:rsidRDefault="006648C2" w:rsidP="00E73AA4">
      <w:pPr>
        <w:pStyle w:val="Heading2"/>
      </w:pPr>
      <w:bookmarkStart w:id="36" w:name="_Toc529789843"/>
      <w:r w:rsidRPr="00096A22">
        <w:t>Expert recommendations (workshop outputs)</w:t>
      </w:r>
      <w:bookmarkEnd w:id="36"/>
    </w:p>
    <w:p w14:paraId="792A5271" w14:textId="50182F67" w:rsidR="00E73AA4" w:rsidRPr="00096A22" w:rsidRDefault="00E73AA4" w:rsidP="00E73AA4">
      <w:r w:rsidRPr="00096A22">
        <w:t>Expert workshop participants identified a number of key research questions not covered in the review above. Participants highlighted that the existing IPR regime is too complex and centralised for developing countries and smaller private actors, which confers advantages to powerful states and companies. There is a role for researchers to identify ways of addressing these structural and capacity dynamics that shifts existing power balances. In the same vein, the participants noted that the WTO has lost momentum over the past 15 years, and it appears that bilateral and smaller multilateral regimes have increasingly taken over international trade regulation. This raises the question of what effects these developments are having on developing countries</w:t>
      </w:r>
      <w:r w:rsidR="00EF448A" w:rsidRPr="00096A22">
        <w:t>’</w:t>
      </w:r>
      <w:r w:rsidRPr="00096A22">
        <w:t xml:space="preserve"> access to technology</w:t>
      </w:r>
      <w:r w:rsidR="00EF448A" w:rsidRPr="00096A22">
        <w:t>.</w:t>
      </w:r>
    </w:p>
    <w:p w14:paraId="75BBDE5B" w14:textId="0BFB561E" w:rsidR="00E73AA4" w:rsidRPr="00096A22" w:rsidRDefault="00E73AA4" w:rsidP="00667874">
      <w:r w:rsidRPr="00096A22">
        <w:t>There were calls for more focus on local technological innovation and development than is currently expressed within SDG 17. There is also a need for behaviour and choice research to better understand local adoption of technology. This work should move beyond question</w:t>
      </w:r>
      <w:r w:rsidR="00477405" w:rsidRPr="00096A22">
        <w:t>s</w:t>
      </w:r>
      <w:r w:rsidRPr="00096A22">
        <w:t xml:space="preserve"> of developing technologies that are location-appropriate and help </w:t>
      </w:r>
      <w:r w:rsidR="00477405" w:rsidRPr="00096A22">
        <w:t xml:space="preserve">to </w:t>
      </w:r>
      <w:r w:rsidRPr="00096A22">
        <w:t xml:space="preserve">explain why technologies with good prospects for local adoption are not readily absorbed. There were also calls for more basic </w:t>
      </w:r>
      <w:r w:rsidR="00EF448A" w:rsidRPr="00096A22">
        <w:t>evaluative</w:t>
      </w:r>
      <w:r w:rsidRPr="00096A22">
        <w:t xml:space="preserve"> research </w:t>
      </w:r>
      <w:r w:rsidR="000E5FDB">
        <w:t xml:space="preserve">that </w:t>
      </w:r>
      <w:r w:rsidRPr="00096A22">
        <w:t>address</w:t>
      </w:r>
      <w:r w:rsidR="000E5FDB">
        <w:t>es</w:t>
      </w:r>
      <w:r w:rsidRPr="00096A22">
        <w:t xml:space="preserve"> the extent to which technology transfer</w:t>
      </w:r>
      <w:r w:rsidR="000E5FDB">
        <w:t xml:space="preserve"> </w:t>
      </w:r>
      <w:r w:rsidRPr="00096A22">
        <w:t>advance</w:t>
      </w:r>
      <w:r w:rsidR="000E5FDB">
        <w:t>s</w:t>
      </w:r>
      <w:r w:rsidRPr="00096A22">
        <w:t xml:space="preserve"> SDG goals.</w:t>
      </w:r>
    </w:p>
    <w:p w14:paraId="434E2E83" w14:textId="77777777" w:rsidR="00667874" w:rsidRPr="00096A22" w:rsidRDefault="00667874" w:rsidP="00667874">
      <w:pPr>
        <w:pStyle w:val="Heading1"/>
      </w:pPr>
      <w:bookmarkStart w:id="37" w:name="_Toc529789844"/>
      <w:r w:rsidRPr="00096A22">
        <w:t>Key theme 4: Multi-stakeholder partnerships</w:t>
      </w:r>
      <w:bookmarkEnd w:id="37"/>
    </w:p>
    <w:p w14:paraId="295B2F55" w14:textId="44238641" w:rsidR="00667874" w:rsidRPr="00096A22" w:rsidRDefault="00667874" w:rsidP="00667874">
      <w:r w:rsidRPr="00096A22">
        <w:t>17.3, 17.6, 17.9, 17.16</w:t>
      </w:r>
      <w:r w:rsidR="00A73DF3">
        <w:t xml:space="preserve"> and</w:t>
      </w:r>
      <w:r w:rsidRPr="00096A22">
        <w:t xml:space="preserve"> 17.17</w:t>
      </w:r>
    </w:p>
    <w:p w14:paraId="2A339E41" w14:textId="1AC4B49A" w:rsidR="00667874" w:rsidRPr="00096A22" w:rsidRDefault="00667874" w:rsidP="00667874">
      <w:r w:rsidRPr="00096A22">
        <w:t xml:space="preserve">One way to define multi-stakeholder partnerships (MSPs) in the context of the SDGs is that they involve some form of institutionalised partnership between public, private and civil society actors with the aim of advancing the provision of some of the societal goods embodied in the SDGs </w:t>
      </w:r>
      <w:r w:rsidRPr="00096A22">
        <w:fldChar w:fldCharType="begin"/>
      </w:r>
      <w:r w:rsidR="004A7123">
        <w:instrText xml:space="preserve"> ADDIN ZOTERO_ITEM CSL_CITATION {"citationID":"a2craiipscu","properties":{"formattedCitation":"(2009)","plainCitation":"(2009)","noteIndex":0},"citationItems":[{"id":"GGZNlT61/5TKHz6L5","uris":["http://zotero.org/users/4803578/items/9XNDNWFD"],"uri":["http://zotero.org/users/4803578/items/9XNDNWFD"],"itemData":{"id":135,"type":"article-journal","title":"Transnational Public-Private Partnerships in International Relations: Making Sense of Concepts, Research Frameworks, and Results","container-title":"International Studies Review","page":"451–474","volume":"11","issue":"3","source":"Google Scholar","shortTitle":"Transnational Public-Private Partnerships in International Relations","author":[{"family":"Schäferhoff","given":"Marco"},{"family":"Campe","given":"Sabine"},{"family":"Kaan","given":"Christopher"}],"issued":{"date-parts":[["2009"]]}}}],"schema":"https://github.com/citation-style-language/schema/raw/master/csl-citation.json"} </w:instrText>
      </w:r>
      <w:r w:rsidRPr="00096A22">
        <w:fldChar w:fldCharType="separate"/>
      </w:r>
      <w:r w:rsidR="004A7123" w:rsidRPr="007344DD">
        <w:rPr>
          <w:rFonts w:ascii="Calibri" w:hAnsi="Calibri" w:cs="Calibri"/>
        </w:rPr>
        <w:t>(</w:t>
      </w:r>
      <w:r w:rsidR="00257B38">
        <w:rPr>
          <w:rFonts w:ascii="Calibri" w:hAnsi="Calibri" w:cs="Calibri"/>
        </w:rPr>
        <w:t xml:space="preserve">Schäferhoff et al. </w:t>
      </w:r>
      <w:r w:rsidR="004A7123" w:rsidRPr="007344DD">
        <w:rPr>
          <w:rFonts w:ascii="Calibri" w:hAnsi="Calibri" w:cs="Calibri"/>
        </w:rPr>
        <w:t>2009)</w:t>
      </w:r>
      <w:r w:rsidRPr="00096A22">
        <w:fldChar w:fldCharType="end"/>
      </w:r>
      <w:r w:rsidRPr="00096A22">
        <w:t>. In the spirit of SDG-17</w:t>
      </w:r>
      <w:r w:rsidR="00DA773B">
        <w:t>,</w:t>
      </w:r>
      <w:r w:rsidRPr="00096A22">
        <w:t xml:space="preserve"> these partnerships can be expected to involve international cooperation and coordination. The importance attributed to MSPs is clearly evident in SDG 17’s call for a global partnership to implement the SDGs, and MSPs have been extolled in international environmental, climate and sustainability agreements </w:t>
      </w:r>
      <w:r w:rsidR="00DA773B">
        <w:t>for</w:t>
      </w:r>
      <w:r w:rsidR="00DA773B" w:rsidRPr="00096A22">
        <w:t xml:space="preserve"> </w:t>
      </w:r>
      <w:r w:rsidRPr="00096A22">
        <w:t>many decades. The 1992 Earth Summit, the 2002 World Summit on Sustainable Development, and Rio+20 all called for enhancing MSPs.</w:t>
      </w:r>
    </w:p>
    <w:p w14:paraId="194AFD4E" w14:textId="143A64C2" w:rsidR="00667874" w:rsidRPr="00096A22" w:rsidRDefault="00667874" w:rsidP="00667874">
      <w:r w:rsidRPr="00096A22">
        <w:lastRenderedPageBreak/>
        <w:t>The potential benefits of MSPs include: regulation and other forms of problem solving where governmental regulation or initiative is missing</w:t>
      </w:r>
      <w:r w:rsidR="00DA773B">
        <w:t>;</w:t>
      </w:r>
      <w:r w:rsidRPr="00096A22">
        <w:t xml:space="preserve"> filling gaps in effective implementation of policies and regulations</w:t>
      </w:r>
      <w:r w:rsidR="00DA773B">
        <w:t>;</w:t>
      </w:r>
      <w:r w:rsidRPr="00096A22">
        <w:t xml:space="preserve"> and widening participation in processes where powerful states and international organi</w:t>
      </w:r>
      <w:r w:rsidR="00A93CCB">
        <w:t>s</w:t>
      </w:r>
      <w:r w:rsidRPr="00096A22">
        <w:t xml:space="preserve">ations have traditionally dominated </w:t>
      </w:r>
      <w:r w:rsidRPr="00096A22">
        <w:fldChar w:fldCharType="begin"/>
      </w:r>
      <w:r w:rsidR="004A7123">
        <w:instrText xml:space="preserve"> ADDIN ZOTERO_ITEM CSL_CITATION {"citationID":"a2ikvvbggh8","properties":{"formattedCitation":"(2007)","plainCitation":"(2007)","noteIndex":0},"citationItems":[{"id":"GGZNlT61/CmVadhXU","uris":["http://zotero.org/users/4803578/items/4GP535LB"],"uri":["http://zotero.org/users/4803578/items/4GP535LB"],"itemData":{"id":52,"type":"article-journal","title":"11. Multi-stakeholder partnerships for sustainable development: does the promise hold?","container-title":"Partnerships, governance and sustainable development: Reflections on theory and practice","page":"239","source":"Google Scholar","shortTitle":"11. Multi-stakeholder partnerships for sustainable development","author":[{"family":"Biermann","given":"Frank"},{"family":"Man-san Chan","given":"Aysem Mert"},{"family":"Pattberg","given":"Philipp"}],"issued":{"date-parts":[["2007"]]}}}],"schema":"https://github.com/citation-style-language/schema/raw/master/csl-citation.json"} </w:instrText>
      </w:r>
      <w:r w:rsidRPr="00096A22">
        <w:fldChar w:fldCharType="separate"/>
      </w:r>
      <w:r w:rsidR="004A7123" w:rsidRPr="007344DD">
        <w:rPr>
          <w:rFonts w:ascii="Calibri" w:hAnsi="Calibri" w:cs="Calibri"/>
        </w:rPr>
        <w:t>(</w:t>
      </w:r>
      <w:r w:rsidR="00257B38">
        <w:rPr>
          <w:rFonts w:ascii="Calibri" w:hAnsi="Calibri" w:cs="Calibri"/>
        </w:rPr>
        <w:t xml:space="preserve">Biermann et al. </w:t>
      </w:r>
      <w:r w:rsidR="004A7123" w:rsidRPr="007344DD">
        <w:rPr>
          <w:rFonts w:ascii="Calibri" w:hAnsi="Calibri" w:cs="Calibri"/>
        </w:rPr>
        <w:t>2007)</w:t>
      </w:r>
      <w:r w:rsidRPr="00096A22">
        <w:fldChar w:fldCharType="end"/>
      </w:r>
      <w:r w:rsidRPr="00096A22">
        <w:t xml:space="preserve">. MSPs are also expected to have advantages in terms of their flexibility and adaptiveness and their ability to address problems that cut across regions, sectors and interest groups </w:t>
      </w:r>
      <w:r w:rsidRPr="00096A22">
        <w:fldChar w:fldCharType="begin"/>
      </w:r>
      <w:r w:rsidR="004A7123">
        <w:instrText xml:space="preserve"> ADDIN ZOTERO_ITEM CSL_CITATION {"citationID":"a2grlahl8","properties":{"formattedCitation":"(Pattberg and Widerberg 2016)","plainCitation":"(Pattberg and Widerberg 2016)","noteIndex":0},"citationItems":[{"id":"GGZNlT61/7V2qm2kP","uris":["http://zotero.org/users/4803578/items/G4BVNY63"],"uri":["http://zotero.org/users/4803578/items/G4BVNY63"],"itemData":{"id":53,"type":"article-journal","title":"Transnational multistakeholder partnerships for sustainable development: Conditions for success","container-title":"Ambio","page":"42–51","volume":"45","issue":"1","source":"Google Scholar","shortTitle":"Transnational multistakeholder partnerships for sustainable development","author":[{"family":"Pattberg","given":"Philipp"},{"family":"Widerberg","given":"Oscar"}],"issued":{"date-parts":[["2016"]]}}}],"schema":"https://github.com/citation-style-language/schema/raw/master/csl-citation.json"} </w:instrText>
      </w:r>
      <w:r w:rsidRPr="00096A22">
        <w:fldChar w:fldCharType="separate"/>
      </w:r>
      <w:r w:rsidR="004A7123" w:rsidRPr="007344DD">
        <w:rPr>
          <w:rFonts w:ascii="Calibri" w:hAnsi="Calibri" w:cs="Calibri"/>
        </w:rPr>
        <w:t>(Pattberg and Widerberg 2016)</w:t>
      </w:r>
      <w:r w:rsidRPr="00096A22">
        <w:fldChar w:fldCharType="end"/>
      </w:r>
      <w:r w:rsidRPr="00096A22">
        <w:t>.</w:t>
      </w:r>
      <w:r w:rsidR="004A7123">
        <w:t xml:space="preserve"> </w:t>
      </w:r>
      <w:r w:rsidRPr="00096A22">
        <w:t>Ultimately, all these benefits aim to address gaps in the achievement of specific sustainability goals and objectives that appear particularly challenging for more traditional forms of governance and international cooperation (e.g. eliminating poverty or achieving reductions in GHG emissions consistent w</w:t>
      </w:r>
      <w:r w:rsidR="00B9410E" w:rsidRPr="00096A22">
        <w:t>ith international agreements).</w:t>
      </w:r>
    </w:p>
    <w:p w14:paraId="6CE45D12" w14:textId="773500FB" w:rsidR="00667874" w:rsidRPr="00096A22" w:rsidRDefault="00667874" w:rsidP="00667874">
      <w:r w:rsidRPr="00096A22">
        <w:t>Research on MSPs is extensive and has focused on a range of issues including</w:t>
      </w:r>
      <w:r w:rsidR="00BC53B2">
        <w:t xml:space="preserve"> the</w:t>
      </w:r>
      <w:r w:rsidRPr="00096A22">
        <w:t xml:space="preserve"> description of the various types of partnerships</w:t>
      </w:r>
      <w:r w:rsidR="00BC53B2">
        <w:t>;</w:t>
      </w:r>
      <w:r w:rsidRPr="00096A22">
        <w:t xml:space="preserve"> theoretical and empirical explanations of the emergence of partnerships</w:t>
      </w:r>
      <w:r w:rsidR="00BC53B2">
        <w:t>;</w:t>
      </w:r>
      <w:r w:rsidRPr="00096A22">
        <w:t xml:space="preserve"> case analyses of specific partnerships</w:t>
      </w:r>
      <w:r w:rsidR="00BC53B2">
        <w:t>;</w:t>
      </w:r>
      <w:r w:rsidRPr="00096A22">
        <w:t xml:space="preserve"> and empirical and normative assessments of legitimacy </w:t>
      </w:r>
      <w:fldSimple w:instr=" ADDIN ZOTERO_TEMP ">
        <w:r w:rsidRPr="00096A22">
          <w:t xml:space="preserve">(see Bäckstrand, Campe, Chan, Mert, </w:t>
        </w:r>
        <w:r w:rsidR="00257B38">
          <w:t>and</w:t>
        </w:r>
        <w:r w:rsidRPr="00096A22">
          <w:t xml:space="preserve"> Schäferhoff, 2012)</w:t>
        </w:r>
      </w:fldSimple>
      <w:r w:rsidRPr="00096A22">
        <w:t>. We do not attempt to give a full overview of this body of literature. Instead, some recent reviews of the literature point to three central knowledge gaps</w:t>
      </w:r>
      <w:r w:rsidR="002424FF">
        <w:t xml:space="preserve"> </w:t>
      </w:r>
      <w:r w:rsidR="002E01BC">
        <w:t>– and thus,</w:t>
      </w:r>
      <w:r w:rsidR="002424FF">
        <w:t xml:space="preserve"> </w:t>
      </w:r>
      <w:r w:rsidRPr="00096A22">
        <w:t>research avenues</w:t>
      </w:r>
      <w:r w:rsidR="002E01BC">
        <w:t xml:space="preserve"> –</w:t>
      </w:r>
      <w:r w:rsidRPr="00096A22">
        <w:t xml:space="preserve"> </w:t>
      </w:r>
      <w:r w:rsidR="002424FF">
        <w:t>t</w:t>
      </w:r>
      <w:r w:rsidR="002E01BC">
        <w:t xml:space="preserve">hat </w:t>
      </w:r>
      <w:r w:rsidR="002424FF">
        <w:t>stand</w:t>
      </w:r>
      <w:r w:rsidRPr="00096A22">
        <w:t xml:space="preserve"> out </w:t>
      </w:r>
      <w:r w:rsidR="00B9410E" w:rsidRPr="00096A22">
        <w:t xml:space="preserve">as particularly important if we </w:t>
      </w:r>
      <w:r w:rsidRPr="00096A22">
        <w:t xml:space="preserve">want to better understand the role MSPs can play in </w:t>
      </w:r>
      <w:r w:rsidRPr="00096A22">
        <w:rPr>
          <w:i/>
        </w:rPr>
        <w:t>advancing</w:t>
      </w:r>
      <w:r w:rsidRPr="00096A22">
        <w:t xml:space="preserve"> the SDGs.</w:t>
      </w:r>
    </w:p>
    <w:p w14:paraId="0FD35D2D" w14:textId="77777777" w:rsidR="00667874" w:rsidRPr="00096A22" w:rsidRDefault="00667874" w:rsidP="00013C53">
      <w:pPr>
        <w:pStyle w:val="Heading2"/>
      </w:pPr>
      <w:bookmarkStart w:id="38" w:name="_Toc529789845"/>
      <w:r w:rsidRPr="00096A22">
        <w:t>Lack of a knowledge base for evaluating effectiveness</w:t>
      </w:r>
      <w:bookmarkEnd w:id="38"/>
    </w:p>
    <w:p w14:paraId="3AAA2E89" w14:textId="2759C9E5" w:rsidR="00667874" w:rsidRPr="00096A22" w:rsidRDefault="00667874" w:rsidP="00667874">
      <w:pPr>
        <w:rPr>
          <w:rFonts w:ascii="Times" w:hAnsi="Times"/>
          <w:b/>
          <w:i/>
        </w:rPr>
      </w:pPr>
      <w:r w:rsidRPr="00FB01AA">
        <w:rPr>
          <w:rFonts w:ascii="Calibri" w:hAnsi="Calibri" w:cs="Calibri"/>
        </w:rPr>
        <w:t>The first knowledge gap highlighted here is the apparent weak basis for empirically evaluating the effectiveness of MSPs.</w:t>
      </w:r>
      <w:r w:rsidR="004A7123" w:rsidRPr="00FB01AA">
        <w:rPr>
          <w:rFonts w:ascii="Calibri" w:hAnsi="Calibri" w:cs="Calibri"/>
        </w:rPr>
        <w:t xml:space="preserve"> </w:t>
      </w:r>
      <w:r w:rsidRPr="00FB01AA">
        <w:rPr>
          <w:rFonts w:ascii="Calibri" w:hAnsi="Calibri" w:cs="Calibri"/>
        </w:rPr>
        <w:t xml:space="preserve">In the context of MSPs focused on climate change, </w:t>
      </w:r>
      <w:r w:rsidR="002E01BC" w:rsidRPr="00FB01AA">
        <w:rPr>
          <w:rFonts w:ascii="Calibri" w:hAnsi="Calibri" w:cs="Calibri"/>
        </w:rPr>
        <w:t xml:space="preserve">Widerberg and Stripple </w:t>
      </w:r>
      <w:r w:rsidRPr="00FB01AA">
        <w:rPr>
          <w:rFonts w:ascii="Calibri" w:hAnsi="Calibri" w:cs="Calibri"/>
        </w:rPr>
        <w:fldChar w:fldCharType="begin"/>
      </w:r>
      <w:r w:rsidR="004A7123" w:rsidRPr="00FB01AA">
        <w:rPr>
          <w:rFonts w:ascii="Calibri" w:hAnsi="Calibri" w:cs="Calibri"/>
        </w:rPr>
        <w:instrText xml:space="preserve"> ADDIN ZOTERO_ITEM CSL_CITATION {"citationID":"a294i3f4vj0","properties":{"formattedCitation":"(Widerberg and Stripple 2016)","plainCitation":"(Widerberg and Stripple 2016)","noteIndex":0},"citationItems":[{"id":"GGZNlT61/fUYMaOwe","uris":["http://zotero.org/users/4803578/items/YZEDMZQG"],"uri":["http://zotero.org/users/4803578/items/YZEDMZQG"],"itemData":{"id":47,"type":"article-journal","title":"The expanding field of cooperative initiatives for decarbonization: a review of five databases","container-title":"Wiley Interdisciplinary Reviews: Climate Change","page":"486-500","volume":"7","issue":"4","source":"Wiley Online Library","abstract":"Climate governance beyond the United Nations Framework Convention on Climate Change (UNFCCC)—including countries, companies, civil society, and international organizations, forming cooperative initiatives—is increasingly framed as complementing, supporting, and even substituting the multilateral negotiations. Cooperative initiatives activating nonstate actors could help bridging the ‘ambition gap’ between governmental greenhouse gas mitigation pledges and the decarbonization pathway needed to halt global warming at 2°C. But what do we know about the performance of cooperative initiatives and their participants? We examine the content of five databases aiming to capture the emerging field of cooperative initiatives and assess whether it is possible to measure the performance of cooperative initiatives based on current data. Overall, we find a substantial lack of ex post data for measuring performance. Available studies either focus on nonemission-related qualitative variables and characteristics of cooperative initiatives such as governance function, participants composition, and thematic areas, or use quantitative modeling approaches to estimate their potential impact. Consequently, we currently lack information to assess how existing initiatives perform in relation to the socio-technical systems they are intended to intervene in, or how initiatives align, scale-up, and form low-carbon pathways. Given the increasingly important role and legitimacy attributed to cooperative initiatives in addressing climate change, we argue that focusing more on gathering ex post data, improving exchange between academic and policy-oriented work, and developing assessment methods accommodating diversity in terms of function, goal, and output, are needed to understand the performance of climate governance beyond the UNFCCC. WIREs Clim Change 2016, 7:486–500. doi: 10.1002/wcc.396 For further resources related to this article, please visit the WIREs website.","DOI":"10.1002/wcc.396","ISSN":"1757-7799","shortTitle":"The expanding field of cooperative initiatives for decarbonization","journalAbbreviation":"WIREs Clim Change","language":"en","author":[{"family":"Widerberg","given":"Oscar"},{"family":"Stripple","given":"Johannes"}],"issued":{"date-parts":[["2016",7,1]]}}}],"schema":"https://github.com/citation-style-language/schema/raw/master/csl-citation.json"} </w:instrText>
      </w:r>
      <w:r w:rsidRPr="00FB01AA">
        <w:rPr>
          <w:rFonts w:ascii="Calibri" w:hAnsi="Calibri" w:cs="Calibri"/>
        </w:rPr>
        <w:fldChar w:fldCharType="separate"/>
      </w:r>
      <w:r w:rsidR="004A7123" w:rsidRPr="007344DD">
        <w:rPr>
          <w:rFonts w:ascii="Calibri" w:hAnsi="Calibri" w:cs="Calibri"/>
        </w:rPr>
        <w:t>(2016)</w:t>
      </w:r>
      <w:r w:rsidRPr="00FB01AA">
        <w:rPr>
          <w:rFonts w:ascii="Calibri" w:hAnsi="Calibri" w:cs="Calibri"/>
        </w:rPr>
        <w:fldChar w:fldCharType="end"/>
      </w:r>
      <w:r w:rsidRPr="00FB01AA">
        <w:rPr>
          <w:rFonts w:ascii="Calibri" w:hAnsi="Calibri" w:cs="Calibri"/>
        </w:rPr>
        <w:t xml:space="preserve"> find that MSPs are often praised as a means to closing the large </w:t>
      </w:r>
      <w:r w:rsidR="00666A57" w:rsidRPr="00FB01AA">
        <w:rPr>
          <w:rFonts w:ascii="Calibri" w:hAnsi="Calibri" w:cs="Calibri"/>
        </w:rPr>
        <w:t>“</w:t>
      </w:r>
      <w:r w:rsidRPr="00FB01AA">
        <w:rPr>
          <w:rFonts w:ascii="Calibri" w:hAnsi="Calibri" w:cs="Calibri"/>
        </w:rPr>
        <w:t>ambition gap</w:t>
      </w:r>
      <w:r w:rsidR="00666A57" w:rsidRPr="00FB01AA">
        <w:rPr>
          <w:rFonts w:ascii="Calibri" w:hAnsi="Calibri" w:cs="Calibri"/>
        </w:rPr>
        <w:t>”</w:t>
      </w:r>
      <w:r w:rsidRPr="00FB01AA">
        <w:rPr>
          <w:rFonts w:ascii="Calibri" w:hAnsi="Calibri" w:cs="Calibri"/>
        </w:rPr>
        <w:t xml:space="preserve"> between states</w:t>
      </w:r>
      <w:r w:rsidR="00666A57" w:rsidRPr="00FB01AA">
        <w:rPr>
          <w:rFonts w:ascii="Calibri" w:hAnsi="Calibri" w:cs="Calibri"/>
        </w:rPr>
        <w:t>’</w:t>
      </w:r>
      <w:r w:rsidRPr="00FB01AA">
        <w:rPr>
          <w:rFonts w:ascii="Calibri" w:hAnsi="Calibri" w:cs="Calibri"/>
        </w:rPr>
        <w:t xml:space="preserve"> commit</w:t>
      </w:r>
      <w:r w:rsidR="00666A57" w:rsidRPr="00FB01AA">
        <w:rPr>
          <w:rFonts w:ascii="Calibri" w:hAnsi="Calibri" w:cs="Calibri"/>
        </w:rPr>
        <w:t>ments</w:t>
      </w:r>
      <w:r w:rsidRPr="00FB01AA">
        <w:rPr>
          <w:rFonts w:ascii="Calibri" w:hAnsi="Calibri" w:cs="Calibri"/>
        </w:rPr>
        <w:t xml:space="preserve"> within the UNFCCC process and what is in fact needed to achieve the temperature targets </w:t>
      </w:r>
      <w:r w:rsidR="00666A57" w:rsidRPr="00FB01AA">
        <w:rPr>
          <w:rFonts w:ascii="Calibri" w:hAnsi="Calibri" w:cs="Calibri"/>
        </w:rPr>
        <w:t>in those commitments</w:t>
      </w:r>
      <w:r w:rsidRPr="00FB01AA">
        <w:rPr>
          <w:rFonts w:ascii="Calibri" w:hAnsi="Calibri" w:cs="Calibri"/>
        </w:rPr>
        <w:t>.</w:t>
      </w:r>
      <w:r w:rsidR="004A7123" w:rsidRPr="00FB01AA">
        <w:rPr>
          <w:rFonts w:ascii="Calibri" w:hAnsi="Calibri" w:cs="Calibri"/>
        </w:rPr>
        <w:t xml:space="preserve"> </w:t>
      </w:r>
      <w:r w:rsidRPr="00FB01AA">
        <w:rPr>
          <w:rFonts w:ascii="Calibri" w:hAnsi="Calibri" w:cs="Calibri"/>
        </w:rPr>
        <w:t>Examining five databases on MSP performance, they find that there is very little data for assessing ex post</w:t>
      </w:r>
      <w:r w:rsidRPr="00FB01AA">
        <w:rPr>
          <w:rFonts w:ascii="Calibri" w:hAnsi="Calibri" w:cs="Calibri"/>
          <w:i/>
        </w:rPr>
        <w:t xml:space="preserve"> </w:t>
      </w:r>
      <w:r w:rsidRPr="00FB01AA">
        <w:rPr>
          <w:rFonts w:ascii="Calibri" w:hAnsi="Calibri" w:cs="Calibri"/>
        </w:rPr>
        <w:t>performance. They find that qualitative studies looking at larger samples of MSPs tend to</w:t>
      </w:r>
      <w:r w:rsidR="00666A57" w:rsidRPr="00FB01AA">
        <w:rPr>
          <w:rFonts w:ascii="Calibri" w:hAnsi="Calibri" w:cs="Calibri"/>
        </w:rPr>
        <w:t xml:space="preserve"> not</w:t>
      </w:r>
      <w:r w:rsidRPr="00FB01AA">
        <w:rPr>
          <w:rFonts w:ascii="Calibri" w:hAnsi="Calibri" w:cs="Calibri"/>
        </w:rPr>
        <w:t xml:space="preserve"> assess performance, but rather focus on explaining emergence, diffusion, and the expanding scopes of partnerships, or on assessing governance structures within MSPs (e.g. accountability, legitimacy, and justice).</w:t>
      </w:r>
      <w:r w:rsidR="00666A57" w:rsidRPr="00FB01AA">
        <w:rPr>
          <w:rFonts w:ascii="Calibri" w:hAnsi="Calibri" w:cs="Calibri"/>
        </w:rPr>
        <w:t xml:space="preserve"> Widerberg and Stripple </w:t>
      </w:r>
      <w:r w:rsidRPr="00FB01AA">
        <w:rPr>
          <w:rFonts w:ascii="Calibri" w:hAnsi="Calibri" w:cs="Calibri"/>
        </w:rPr>
        <w:fldChar w:fldCharType="begin"/>
      </w:r>
      <w:r w:rsidR="004A7123" w:rsidRPr="00FB01AA">
        <w:rPr>
          <w:rFonts w:ascii="Calibri" w:hAnsi="Calibri" w:cs="Calibri"/>
        </w:rPr>
        <w:instrText xml:space="preserve"> ADDIN ZOTERO_ITEM CSL_CITATION {"citationID":"a1t7lik41dj","properties":{"formattedCitation":"(Widerberg and Stripple 2016)","plainCitation":"(Widerberg and Stripple 2016)","noteIndex":0},"citationItems":[{"id":"GGZNlT61/fUYMaOwe","uris":["http://zotero.org/users/4803578/items/YZEDMZQG"],"uri":["http://zotero.org/users/4803578/items/YZEDMZQG"],"itemData":{"id":47,"type":"article-journal","title":"The expanding field of cooperative initiatives for decarbonization: a review of five databases","container-title":"Wiley Interdisciplinary Reviews: Climate Change","page":"486-500","volume":"7","issue":"4","source":"Wiley Online Library","abstract":"Climate governance beyond the United Nations Framework Convention on Climate Change (UNFCCC)—including countries, companies, civil society, and international organizations, forming cooperative initiatives—is increasingly framed as complementing, supporting, and even substituting the multilateral negotiations. Cooperative initiatives activating nonstate actors could help bridging the ‘ambition gap’ between governmental greenhouse gas mitigation pledges and the decarbonization pathway needed to halt global warming at 2°C. But what do we know about the performance of cooperative initiatives and their participants? We examine the content of five databases aiming to capture the emerging field of cooperative initiatives and assess whether it is possible to measure the performance of cooperative initiatives based on current data. Overall, we find a substantial lack of ex post data for measuring performance. Available studies either focus on nonemission-related qualitative variables and characteristics of cooperative initiatives such as governance function, participants composition, and thematic areas, or use quantitative modeling approaches to estimate their potential impact. Consequently, we currently lack information to assess how existing initiatives perform in relation to the socio-technical systems they are intended to intervene in, or how initiatives align, scale-up, and form low-carbon pathways. Given the increasingly important role and legitimacy attributed to cooperative initiatives in addressing climate change, we argue that focusing more on gathering ex post data, improving exchange between academic and policy-oriented work, and developing assessment methods accommodating diversity in terms of function, goal, and output, are needed to understand the performance of climate governance beyond the UNFCCC. WIREs Clim Change 2016, 7:486–500. doi: 10.1002/wcc.396 For further resources related to this article, please visit the WIREs website.","DOI":"10.1002/wcc.396","ISSN":"1757-7799","shortTitle":"The expanding field of cooperative initiatives for decarbonization","journalAbbreviation":"WIREs Clim Change","language":"en","author":[{"family":"Widerberg","given":"Oscar"},{"family":"Stripple","given":"Johannes"}],"issued":{"date-parts":[["2016",7,1]]}}}],"schema":"https://github.com/citation-style-language/schema/raw/master/csl-citation.json"} </w:instrText>
      </w:r>
      <w:r w:rsidRPr="00FB01AA">
        <w:rPr>
          <w:rFonts w:ascii="Calibri" w:hAnsi="Calibri" w:cs="Calibri"/>
        </w:rPr>
        <w:fldChar w:fldCharType="separate"/>
      </w:r>
      <w:r w:rsidR="004A7123" w:rsidRPr="007344DD">
        <w:rPr>
          <w:rFonts w:ascii="Calibri" w:hAnsi="Calibri" w:cs="Calibri"/>
        </w:rPr>
        <w:t>(2016)</w:t>
      </w:r>
      <w:r w:rsidRPr="00FB01AA">
        <w:rPr>
          <w:rFonts w:ascii="Calibri" w:hAnsi="Calibri" w:cs="Calibri"/>
        </w:rPr>
        <w:fldChar w:fldCharType="end"/>
      </w:r>
      <w:r w:rsidRPr="00FB01AA">
        <w:rPr>
          <w:rFonts w:ascii="Calibri" w:hAnsi="Calibri" w:cs="Calibri"/>
        </w:rPr>
        <w:t xml:space="preserve"> also find that quantitative studies assessing the emissions impacts of MSPs analyse ex ante </w:t>
      </w:r>
      <w:r w:rsidRPr="007344DD">
        <w:rPr>
          <w:rFonts w:ascii="Calibri" w:hAnsi="Calibri" w:cs="Calibri"/>
        </w:rPr>
        <w:t>potential</w:t>
      </w:r>
      <w:r w:rsidRPr="00FB01AA">
        <w:rPr>
          <w:rFonts w:ascii="Calibri" w:hAnsi="Calibri" w:cs="Calibri"/>
        </w:rPr>
        <w:t xml:space="preserve"> effectiveness given stated objectives, membership and organisational structure</w:t>
      </w:r>
      <w:r w:rsidR="00666A57" w:rsidRPr="00FB01AA">
        <w:rPr>
          <w:rFonts w:ascii="Calibri" w:hAnsi="Calibri" w:cs="Calibri"/>
        </w:rPr>
        <w:t>,</w:t>
      </w:r>
      <w:r w:rsidRPr="00FB01AA">
        <w:rPr>
          <w:rFonts w:ascii="Calibri" w:hAnsi="Calibri" w:cs="Calibri"/>
        </w:rPr>
        <w:t xml:space="preserve"> rather than ex post effectiveness</w:t>
      </w:r>
      <w:r w:rsidR="00666A57" w:rsidRPr="00FB01AA">
        <w:rPr>
          <w:rFonts w:ascii="Calibri" w:hAnsi="Calibri" w:cs="Calibri"/>
        </w:rPr>
        <w:t xml:space="preserve">. </w:t>
      </w:r>
      <w:r w:rsidRPr="00FB01AA">
        <w:rPr>
          <w:rFonts w:ascii="Calibri" w:hAnsi="Calibri" w:cs="Calibri"/>
          <w:b/>
          <w:i/>
        </w:rPr>
        <w:t>The authors argue that</w:t>
      </w:r>
      <w:r w:rsidR="00666A57" w:rsidRPr="00FB01AA">
        <w:rPr>
          <w:rFonts w:ascii="Calibri" w:hAnsi="Calibri" w:cs="Calibri"/>
          <w:b/>
          <w:i/>
        </w:rPr>
        <w:t xml:space="preserve"> as MSPs gain increasing</w:t>
      </w:r>
      <w:r w:rsidRPr="00FB01AA">
        <w:rPr>
          <w:rFonts w:ascii="Calibri" w:hAnsi="Calibri" w:cs="Calibri"/>
          <w:b/>
          <w:i/>
        </w:rPr>
        <w:t xml:space="preserve"> legitimacy and </w:t>
      </w:r>
      <w:r w:rsidR="00666A57" w:rsidRPr="00FB01AA">
        <w:rPr>
          <w:rFonts w:ascii="Calibri" w:hAnsi="Calibri" w:cs="Calibri"/>
          <w:b/>
          <w:i/>
        </w:rPr>
        <w:t xml:space="preserve">face growing </w:t>
      </w:r>
      <w:r w:rsidRPr="00FB01AA">
        <w:rPr>
          <w:rFonts w:ascii="Calibri" w:hAnsi="Calibri" w:cs="Calibri"/>
          <w:b/>
          <w:i/>
        </w:rPr>
        <w:t>expectations on their potential benefits</w:t>
      </w:r>
      <w:r w:rsidR="00666A57" w:rsidRPr="00FB01AA">
        <w:rPr>
          <w:rFonts w:ascii="Calibri" w:hAnsi="Calibri" w:cs="Calibri"/>
          <w:b/>
          <w:i/>
        </w:rPr>
        <w:t>,</w:t>
      </w:r>
      <w:r w:rsidRPr="00FB01AA">
        <w:rPr>
          <w:rFonts w:ascii="Calibri" w:hAnsi="Calibri" w:cs="Calibri"/>
          <w:b/>
          <w:i/>
        </w:rPr>
        <w:t xml:space="preserve"> there is a need for more work developing assessment methods for MSPs, collecting ex post data, and better linking this academic research to policy-oriented work</w:t>
      </w:r>
      <w:r w:rsidRPr="00096A22">
        <w:rPr>
          <w:rFonts w:ascii="Times" w:hAnsi="Times"/>
          <w:b/>
          <w:i/>
        </w:rPr>
        <w:t xml:space="preserve"> </w:t>
      </w:r>
      <w:r w:rsidRPr="00096A22">
        <w:rPr>
          <w:rFonts w:ascii="Times" w:hAnsi="Times"/>
          <w:b/>
          <w:i/>
        </w:rPr>
        <w:fldChar w:fldCharType="begin"/>
      </w:r>
      <w:r w:rsidR="004A7123">
        <w:rPr>
          <w:rFonts w:ascii="Times" w:hAnsi="Times"/>
          <w:b/>
          <w:i/>
        </w:rPr>
        <w:instrText xml:space="preserve"> ADDIN ZOTERO_ITEM CSL_CITATION {"citationID":"M1acXQnH","properties":{"formattedCitation":"(Widerberg and Stripple 2016)","plainCitation":"(Widerberg and Stripple 2016)","noteIndex":0},"citationItems":[{"id":"GGZNlT61/fUYMaOwe","uris":["http://zotero.org/users/4803578/items/YZEDMZQG"],"uri":["http://zotero.org/users/4803578/items/YZEDMZQG"],"itemData":{"id":47,"type":"article-journal","title":"The expanding field of cooperative initiatives for decarbonization: a review of five databases","container-title":"Wiley Interdisciplinary Reviews: Climate Change","page":"486-500","volume":"7","issue":"4","source":"Wiley Online Library","abstract":"Climate governance beyond the United Nations Framework Convention on Climate Change (UNFCCC)—including countries, companies, civil society, and international organizations, forming cooperative initiatives—is increasingly framed as complementing, supporting, and even substituting the multilateral negotiations. Cooperative initiatives activating nonstate actors could help bridging the ‘ambition gap’ between governmental greenhouse gas mitigation pledges and the decarbonization pathway needed to halt global warming at 2°C. But what do we know about the performance of cooperative initiatives and their participants? We examine the content of five databases aiming to capture the emerging field of cooperative initiatives and assess whether it is possible to measure the performance of cooperative initiatives based on current data. Overall, we find a substantial lack of ex post data for measuring performance. Available studies either focus on nonemission-related qualitative variables and characteristics of cooperative initiatives such as governance function, participants composition, and thematic areas, or use quantitative modeling approaches to estimate their potential impact. Consequently, we currently lack information to assess how existing initiatives perform in relation to the socio-technical systems they are intended to intervene in, or how initiatives align, scale-up, and form low-carbon pathways. Given the increasingly important role and legitimacy attributed to cooperative initiatives in addressing climate change, we argue that focusing more on gathering ex post data, improving exchange between academic and policy-oriented work, and developing assessment methods accommodating diversity in terms of function, goal, and output, are needed to understand the performance of climate governance beyond the UNFCCC. WIREs Clim Change 2016, 7:486–500. doi: 10.1002/wcc.396 For further resources related to this article, please visit the WIREs website.","DOI":"10.1002/wcc.396","ISSN":"1757-7799","shortTitle":"The expanding field of cooperative initiatives for decarbonization","journalAbbreviation":"WIREs Clim Change","language":"en","author":[{"family":"Widerberg","given":"Oscar"},{"family":"Stripple","given":"Johannes"}],"issued":{"date-parts":[["2016",7,1]]}}}],"schema":"https://github.com/citation-style-language/schema/raw/master/csl-citation.json"} </w:instrText>
      </w:r>
      <w:r w:rsidRPr="00096A22">
        <w:rPr>
          <w:rFonts w:ascii="Times" w:hAnsi="Times"/>
          <w:b/>
          <w:i/>
        </w:rPr>
        <w:fldChar w:fldCharType="separate"/>
      </w:r>
      <w:r w:rsidR="004A7123" w:rsidRPr="007344DD">
        <w:rPr>
          <w:rFonts w:ascii="Times" w:hAnsi="Times" w:cs="Times"/>
        </w:rPr>
        <w:t>(Widerberg and Stripple 2016)</w:t>
      </w:r>
      <w:r w:rsidRPr="00096A22">
        <w:rPr>
          <w:rFonts w:ascii="Times" w:hAnsi="Times"/>
          <w:b/>
          <w:i/>
        </w:rPr>
        <w:fldChar w:fldCharType="end"/>
      </w:r>
      <w:r w:rsidRPr="00096A22">
        <w:rPr>
          <w:rFonts w:ascii="Times" w:hAnsi="Times"/>
          <w:b/>
          <w:i/>
        </w:rPr>
        <w:t>.</w:t>
      </w:r>
    </w:p>
    <w:p w14:paraId="2DC81789" w14:textId="6FDBCAE6" w:rsidR="00667874" w:rsidRPr="00096A22" w:rsidRDefault="00667874" w:rsidP="00013C53">
      <w:pPr>
        <w:pStyle w:val="Heading2"/>
      </w:pPr>
      <w:bookmarkStart w:id="39" w:name="_Toc529789846"/>
      <w:r w:rsidRPr="00096A22">
        <w:t>What should the metrics for MSP success be?</w:t>
      </w:r>
      <w:bookmarkEnd w:id="39"/>
    </w:p>
    <w:p w14:paraId="703BAD78" w14:textId="43484012" w:rsidR="00667874" w:rsidRPr="00096A22" w:rsidRDefault="00667874" w:rsidP="00667874">
      <w:r w:rsidRPr="00096A22">
        <w:t xml:space="preserve">To the extent that we do have a knowledge basis on the performance of MSPs, the evidence suggests fairly weak performance. For example, over 200 MSPs were launched at the 2002 World Summit on Sustainable Development (WSSD), with others following, but there appears to be little evidence of tangible results from much of this activity </w:t>
      </w:r>
      <w:r w:rsidRPr="00096A22">
        <w:fldChar w:fldCharType="begin"/>
      </w:r>
      <w:r w:rsidR="004A7123">
        <w:instrText xml:space="preserve"> ADDIN ZOTERO_ITEM CSL_CITATION {"citationID":"a1pdn7jcssu","properties":{"formattedCitation":"(Chan et al. 2015)","plainCitation":"(Chan et al. 2015)","noteIndex":0},"citationItems":[{"id":"GGZNlT61/FCeMYeWy","uris":["http://zotero.org/users/4803578/items/BPW6R7HS"],"uri":["http://zotero.org/users/4803578/items/BPW6R7HS"],"itemData":{"id":56,"type":"article-journal","title":"Reinvigorating International Climate Policy: A Comprehensive Framework for Effective Nonstate Action","container-title":"Global Policy","page":"466-473","volume":"6","issue":"4","source":"onlinelibrary.wiley.com.ezp.sub.su.se","abstract":"As countries negotiate a new climate agreement for the United Nations climate conference in December 2015, a groundswell of climate actions is emerging as cities, regions, businesses and civil society...","DOI":"10.1111/1758-5899.12294","ISSN":"1758-5899","shortTitle":"Reinvigorating International Climate Policy","language":"en","author":[{"family":"Chan","given":"Sander"},{"family":"Asselt","given":"Harro"},{"family":"Hale","given":"Thomas"},{"family":"Abbott","given":"Kenneth W."},{"family":"Beisheim","given":"Marianne"},{"family":"Hoffmann","given":"Matthew"},{"family":"Guy","given":"Brendan"},{"family":"Höhne","given":"Niklas"},{"family":"Hsu","given":"Angel"},{"family":"Pattberg","given":"Philipp"},{"family":"Pauw","given":"Pieter"},{"family":"Ramstein","given":"Céline"},{"family":"Widerberg","given":"Oscar"}],"issued":{"date-parts":[["2015",11,1]]}}}],"schema":"https://github.com/citation-style-language/schema/raw/master/csl-citation.json"} </w:instrText>
      </w:r>
      <w:r w:rsidRPr="00096A22">
        <w:fldChar w:fldCharType="separate"/>
      </w:r>
      <w:r w:rsidR="004A7123" w:rsidRPr="007344DD">
        <w:rPr>
          <w:rFonts w:ascii="Calibri" w:hAnsi="Calibri" w:cs="Calibri"/>
        </w:rPr>
        <w:t>(Chan et al. 2015)</w:t>
      </w:r>
      <w:r w:rsidRPr="00096A22">
        <w:fldChar w:fldCharType="end"/>
      </w:r>
      <w:r w:rsidRPr="00096A22">
        <w:t>.</w:t>
      </w:r>
      <w:r w:rsidR="004A7123">
        <w:t xml:space="preserve"> </w:t>
      </w:r>
      <w:r w:rsidRPr="00096A22">
        <w:t xml:space="preserve">Reviewing the literature on the effectiveness of MSPs, </w:t>
      </w:r>
      <w:r w:rsidR="00373145" w:rsidRPr="00096A22">
        <w:t xml:space="preserve">Pattberg and Widerberg </w:t>
      </w:r>
      <w:r w:rsidRPr="00096A22">
        <w:fldChar w:fldCharType="begin"/>
      </w:r>
      <w:r w:rsidR="004A7123">
        <w:instrText xml:space="preserve"> ADDIN ZOTERO_ITEM CSL_CITATION {"citationID":"a1a2qe4hdtd","properties":{"formattedCitation":"(Pattberg and Widerberg 2016)","plainCitation":"(Pattberg and Widerberg 2016)","noteIndex":0},"citationItems":[{"id":"GGZNlT61/7V2qm2kP","uris":["http://zotero.org/users/4803578/items/G4BVNY63"],"uri":["http://zotero.org/users/4803578/items/G4BVNY63"],"itemData":{"id":53,"type":"article-journal","title":"Transnational multistakeholder partnerships for sustainable development: Conditions for success","container-title":"Ambio","page":"42–51","volume":"45","issue":"1","source":"Google Scholar","shortTitle":"Transnational multistakeholder partnerships for sustainable development","author":[{"family":"Pattberg","given":"Philipp"},{"family":"Widerberg","given":"Oscar"}],"issued":{"date-parts":[["2016"]]}}}],"schema":"https://github.com/citation-style-language/schema/raw/master/csl-citation.json"} </w:instrText>
      </w:r>
      <w:r w:rsidRPr="00096A22">
        <w:fldChar w:fldCharType="separate"/>
      </w:r>
      <w:r w:rsidR="004A7123" w:rsidRPr="007344DD">
        <w:rPr>
          <w:rFonts w:ascii="Calibri" w:hAnsi="Calibri" w:cs="Calibri"/>
        </w:rPr>
        <w:t>(2016)</w:t>
      </w:r>
      <w:r w:rsidRPr="00096A22">
        <w:fldChar w:fldCharType="end"/>
      </w:r>
      <w:r w:rsidRPr="00096A22">
        <w:t xml:space="preserve"> find that there are some examples of MSPs clearly helping to solve sustainability problems</w:t>
      </w:r>
      <w:r w:rsidR="00373145">
        <w:t>,</w:t>
      </w:r>
      <w:r w:rsidRPr="00096A22">
        <w:t xml:space="preserve"> but that in general MSPs appear to have low effectiveness. From a sample of 340 WSSD partnerships</w:t>
      </w:r>
      <w:r w:rsidR="00373145">
        <w:t>,</w:t>
      </w:r>
      <w:r w:rsidRPr="00096A22">
        <w:t xml:space="preserve"> 211 are </w:t>
      </w:r>
      <w:r w:rsidRPr="00096A22">
        <w:lastRenderedPageBreak/>
        <w:t xml:space="preserve">either inactive, do not have outputs, or have activities that do not match their stated objectives </w:t>
      </w:r>
      <w:r w:rsidRPr="00096A22">
        <w:fldChar w:fldCharType="begin"/>
      </w:r>
      <w:r w:rsidR="004A7123">
        <w:instrText xml:space="preserve"> ADDIN ZOTERO_ITEM CSL_CITATION {"citationID":"a18kqugp2ff","properties":{"formattedCitation":"(Pattberg and Widerberg 2016)","plainCitation":"(Pattberg and Widerberg 2016)","noteIndex":0},"citationItems":[{"id":"GGZNlT61/7V2qm2kP","uris":["http://zotero.org/users/4803578/items/G4BVNY63"],"uri":["http://zotero.org/users/4803578/items/G4BVNY63"],"itemData":{"id":53,"type":"article-journal","title":"Transnational multistakeholder partnerships for sustainable development: Conditions for success","container-title":"Ambio","page":"42–51","volume":"45","issue":"1","source":"Google Scholar","shortTitle":"Transnational multistakeholder partnerships for sustainable development","author":[{"family":"Pattberg","given":"Philipp"},{"family":"Widerberg","given":"Oscar"}],"issued":{"date-parts":[["2016"]]}}}],"schema":"https://github.com/citation-style-language/schema/raw/master/csl-citation.json"} </w:instrText>
      </w:r>
      <w:r w:rsidRPr="00096A22">
        <w:fldChar w:fldCharType="separate"/>
      </w:r>
      <w:r w:rsidR="004A7123" w:rsidRPr="007344DD">
        <w:rPr>
          <w:rFonts w:ascii="Calibri" w:hAnsi="Calibri" w:cs="Calibri"/>
        </w:rPr>
        <w:t>(Pattberg and Widerberg 2016)</w:t>
      </w:r>
      <w:r w:rsidRPr="00096A22">
        <w:fldChar w:fldCharType="end"/>
      </w:r>
      <w:r w:rsidR="00B9410E" w:rsidRPr="00096A22">
        <w:t>.</w:t>
      </w:r>
    </w:p>
    <w:p w14:paraId="3C7AD878" w14:textId="1DA09281" w:rsidR="00667874" w:rsidRPr="00096A22" w:rsidRDefault="00373145" w:rsidP="00667874">
      <w:r w:rsidRPr="00457974">
        <w:rPr>
          <w:lang w:val="sv-SE"/>
        </w:rPr>
        <w:t xml:space="preserve">Chan et al. </w:t>
      </w:r>
      <w:r w:rsidR="00667874" w:rsidRPr="00096A22">
        <w:fldChar w:fldCharType="begin"/>
      </w:r>
      <w:r w:rsidR="004A7123" w:rsidRPr="00457974">
        <w:rPr>
          <w:lang w:val="sv-SE"/>
        </w:rPr>
        <w:instrText xml:space="preserve"> ADDIN ZOTERO_ITEM CSL_CITATION {"citationID":"a2blgt03vcn","properties":{"formattedCitation":"(Chan et al. 2018)","plainCitation":"(Chan et al. 2018)","noteIndex":0},"citationItems":[{"id":"GGZNlT61/1acehbYW","uris":["http://zotero.org/users/4803578/items/C2WTMQMQ"],"uri":["http://zotero.org/users/4803578/items/C2WTMQMQ"],"itemData":{"id":60,"type":"article-journal","title":"Effective and geographically balanced? An output-based assessment of non-state climate actions","container-title":"Climate Policy","page":"24-35","volume":"18","issue":"1","source":"Taylor and Francis+NEJM","abstract":"At COP21 in Paris, governments reiterated the importance of ‘non-Party’ contributions, placing big bets that the efforts of cities, regions, investors, companies, and other social groups will help keep average global warming limited to well under 2°C. However, there is little systematic knowledge concerning the performance of non-state and subnational efforts. We established a database of 52 climate actions launched at the 2014 UN Climate Summit in New York to assess output performance – that is, the production of relevant outputs – to understand whether they are likely to deliver social and environmental impacts. Moreover, we assess to which extent climate actions are implemented across developed and developing countries. We find that climate actions are starting to deliver, and output performance after one year is higher than one might expect from previous experiences with similar actions. However, differences exist between action areas: resilience actions have yet to produce specific outputs, whereas energy and industry actions perform above average. Furthermore, imbalances between developing and developed countries persist. While many actions target low-income and lower-middle-income economies, the implementation gap in these countries remains greater. More efforts are necessary to mobilize and implement actions that benefit the world’s most vulnerable people.Policy relevanceClimate actions by non-state and subnational actors are an important complement to the multilateral climate regime and the associated contributions made by national governments. Although such actions hold much potential, we still know very little about how they could deliver in practice. This article addresses this knowledge gap, by showing how 52 climate actions announced at the UN Climate Summit in 2014 have performed thus far. Based on our analysis, we argue that the post-Paris action agenda for non-state and subnational climate action should (1) find more effective ways to incentivize private sector actors to engage in transnational climate governance through actions that seek to reduce greenhouse gas emissions and promote climate resilience in a tangible manner; (2) identify factors underlying effectiveness, to take appropriate measures to support underperforming climate actions; and (3) address the large implementation gap of climate actions in developing countries.","DOI":"10.1080/14693062.2016.1248343","ISSN":"1469-3062","shortTitle":"Effective and geographically balanced?","author":[{"family":"Chan","given":"Sander"},{"family":"Falkner","given":"Robert"},{"family":"Goldberg","given":"Matthew"},{"family":"Asselt","given":"Harro","dropping-particle":"van"}],"issued":{"date-parts":[["2018",1,2]]}}}],"schema":"https://github.com/citation-style-language/schema/raw/master/csl-citation.json"} </w:instrText>
      </w:r>
      <w:r w:rsidR="00667874" w:rsidRPr="00096A22">
        <w:fldChar w:fldCharType="separate"/>
      </w:r>
      <w:r w:rsidR="004A7123" w:rsidRPr="00457974">
        <w:rPr>
          <w:rFonts w:ascii="Calibri" w:hAnsi="Calibri" w:cs="Calibri"/>
          <w:lang w:val="sv-SE"/>
        </w:rPr>
        <w:t>(2018)</w:t>
      </w:r>
      <w:r w:rsidR="00667874" w:rsidRPr="00096A22">
        <w:fldChar w:fldCharType="end"/>
      </w:r>
      <w:r w:rsidR="00667874" w:rsidRPr="00457974">
        <w:rPr>
          <w:lang w:val="sv-SE"/>
        </w:rPr>
        <w:t xml:space="preserve"> find somewhat better than expected performance from MSPs initiated at the 2014 UN Climate Summit. </w:t>
      </w:r>
      <w:r w:rsidR="00667874" w:rsidRPr="00096A22">
        <w:t>This summit was not part of the UNFCCC negotiation process</w:t>
      </w:r>
      <w:r w:rsidR="00FC67DA">
        <w:t>;</w:t>
      </w:r>
      <w:r w:rsidR="00667874" w:rsidRPr="00096A22">
        <w:t xml:space="preserve"> it was designed to facilitate the implementation of actions and initiatives by governments at all levels, business, investors, civil society and other non-state actors. The purpose was to generate momentum for a successful outcome from COP 21 in Paris. The authors find that one year on, nearly two thirds of the initiatives coming out of the 2014 summit produced outputs that partially or fully fit the MSPs</w:t>
      </w:r>
      <w:r w:rsidR="00FC67DA">
        <w:t>’</w:t>
      </w:r>
      <w:r w:rsidR="00667874" w:rsidRPr="00096A22">
        <w:t xml:space="preserve"> stated functions </w:t>
      </w:r>
      <w:r w:rsidR="00667874" w:rsidRPr="00096A22">
        <w:fldChar w:fldCharType="begin"/>
      </w:r>
      <w:r w:rsidR="004A7123">
        <w:instrText xml:space="preserve"> ADDIN ZOTERO_ITEM CSL_CITATION {"citationID":"at22fc5265","properties":{"formattedCitation":"(Chan et al. 2018)","plainCitation":"(Chan et al. 2018)","noteIndex":0},"citationItems":[{"id":"GGZNlT61/1acehbYW","uris":["http://zotero.org/users/4803578/items/C2WTMQMQ"],"uri":["http://zotero.org/users/4803578/items/C2WTMQMQ"],"itemData":{"id":60,"type":"article-journal","title":"Effective and geographically balanced? An output-based assessment of non-state climate actions","container-title":"Climate Policy","page":"24-35","volume":"18","issue":"1","source":"Taylor and Francis+NEJM","abstract":"At COP21 in Paris, governments reiterated the importance of ‘non-Party’ contributions, placing big bets that the efforts of cities, regions, investors, companies, and other social groups will help keep average global warming limited to well under 2°C. However, there is little systematic knowledge concerning the performance of non-state and subnational efforts. We established a database of 52 climate actions launched at the 2014 UN Climate Summit in New York to assess output performance – that is, the production of relevant outputs – to understand whether they are likely to deliver social and environmental impacts. Moreover, we assess to which extent climate actions are implemented across developed and developing countries. We find that climate actions are starting to deliver, and output performance after one year is higher than one might expect from previous experiences with similar actions. However, differences exist between action areas: resilience actions have yet to produce specific outputs, whereas energy and industry actions perform above average. Furthermore, imbalances between developing and developed countries persist. While many actions target low-income and lower-middle-income economies, the implementation gap in these countries remains greater. More efforts are necessary to mobilize and implement actions that benefit the world’s most vulnerable people.Policy relevanceClimate actions by non-state and subnational actors are an important complement to the multilateral climate regime and the associated contributions made by national governments. Although such actions hold much potential, we still know very little about how they could deliver in practice. This article addresses this knowledge gap, by showing how 52 climate actions announced at the UN Climate Summit in 2014 have performed thus far. Based on our analysis, we argue that the post-Paris action agenda for non-state and subnational climate action should (1) find more effective ways to incentivize private sector actors to engage in transnational climate governance through actions that seek to reduce greenhouse gas emissions and promote climate resilience in a tangible manner; (2) identify factors underlying effectiveness, to take appropriate measures to support underperforming climate actions; and (3) address the large implementation gap of climate actions in developing countries.","DOI":"10.1080/14693062.2016.1248343","ISSN":"1469-3062","shortTitle":"Effective and geographically balanced?","author":[{"family":"Chan","given":"Sander"},{"family":"Falkner","given":"Robert"},{"family":"Goldberg","given":"Matthew"},{"family":"Asselt","given":"Harro","dropping-particle":"van"}],"issued":{"date-parts":[["2018",1,2]]}}}],"schema":"https://github.com/citation-style-language/schema/raw/master/csl-citation.json"} </w:instrText>
      </w:r>
      <w:r w:rsidR="00667874" w:rsidRPr="00096A22">
        <w:fldChar w:fldCharType="separate"/>
      </w:r>
      <w:r w:rsidR="004A7123" w:rsidRPr="007344DD">
        <w:rPr>
          <w:rFonts w:ascii="Calibri" w:hAnsi="Calibri" w:cs="Calibri"/>
        </w:rPr>
        <w:t>(Chan et al. 2018)</w:t>
      </w:r>
      <w:r w:rsidR="00667874" w:rsidRPr="00096A22">
        <w:fldChar w:fldCharType="end"/>
      </w:r>
      <w:r w:rsidR="00667874" w:rsidRPr="00096A22">
        <w:t xml:space="preserve">. This is judged to be </w:t>
      </w:r>
      <w:r w:rsidR="00FC67DA">
        <w:t xml:space="preserve">a </w:t>
      </w:r>
      <w:r w:rsidR="00667874" w:rsidRPr="00096A22">
        <w:t xml:space="preserve">good performance </w:t>
      </w:r>
      <w:r w:rsidR="00FC67DA">
        <w:t>compared</w:t>
      </w:r>
      <w:r w:rsidR="00667874" w:rsidRPr="00096A22">
        <w:t xml:space="preserve"> to the WSSD MSPs ten years </w:t>
      </w:r>
      <w:r w:rsidR="00FC67DA">
        <w:t>earlier</w:t>
      </w:r>
      <w:r w:rsidR="00667874" w:rsidRPr="00096A22">
        <w:t xml:space="preserve">, but it is not clear in the research how one should weigh the time difference in these evaluations. It is also important to note that the “function-output-fit” (FOF) metric </w:t>
      </w:r>
      <w:r w:rsidR="00FC67DA" w:rsidRPr="00096A22">
        <w:t>Chan et al.</w:t>
      </w:r>
      <w:r w:rsidR="00FC67DA">
        <w:t xml:space="preserve"> </w:t>
      </w:r>
      <w:r w:rsidR="00667874" w:rsidRPr="00096A22">
        <w:fldChar w:fldCharType="begin"/>
      </w:r>
      <w:r w:rsidR="004A7123">
        <w:instrText xml:space="preserve"> ADDIN ZOTERO_ITEM CSL_CITATION {"citationID":"a23c6spoq49","properties":{"formattedCitation":"(Chan et al. 2018)","plainCitation":"(Chan et al. 2018)","noteIndex":0},"citationItems":[{"id":"GGZNlT61/1acehbYW","uris":["http://zotero.org/users/4803578/items/C2WTMQMQ"],"uri":["http://zotero.org/users/4803578/items/C2WTMQMQ"],"itemData":{"id":60,"type":"article-journal","title":"Effective and geographically balanced? An output-based assessment of non-state climate actions","container-title":"Climate Policy","page":"24-35","volume":"18","issue":"1","source":"Taylor and Francis+NEJM","abstract":"At COP21 in Paris, governments reiterated the importance of ‘non-Party’ contributions, placing big bets that the efforts of cities, regions, investors, companies, and other social groups will help keep average global warming limited to well under 2°C. However, there is little systematic knowledge concerning the performance of non-state and subnational efforts. We established a database of 52 climate actions launched at the 2014 UN Climate Summit in New York to assess output performance – that is, the production of relevant outputs – to understand whether they are likely to deliver social and environmental impacts. Moreover, we assess to which extent climate actions are implemented across developed and developing countries. We find that climate actions are starting to deliver, and output performance after one year is higher than one might expect from previous experiences with similar actions. However, differences exist between action areas: resilience actions have yet to produce specific outputs, whereas energy and industry actions perform above average. Furthermore, imbalances between developing and developed countries persist. While many actions target low-income and lower-middle-income economies, the implementation gap in these countries remains greater. More efforts are necessary to mobilize and implement actions that benefit the world’s most vulnerable people.Policy relevanceClimate actions by non-state and subnational actors are an important complement to the multilateral climate regime and the associated contributions made by national governments. Although such actions hold much potential, we still know very little about how they could deliver in practice. This article addresses this knowledge gap, by showing how 52 climate actions announced at the UN Climate Summit in 2014 have performed thus far. Based on our analysis, we argue that the post-Paris action agenda for non-state and subnational climate action should (1) find more effective ways to incentivize private sector actors to engage in transnational climate governance through actions that seek to reduce greenhouse gas emissions and promote climate resilience in a tangible manner; (2) identify factors underlying effectiveness, to take appropriate measures to support underperforming climate actions; and (3) address the large implementation gap of climate actions in developing countries.","DOI":"10.1080/14693062.2016.1248343","ISSN":"1469-3062","shortTitle":"Effective and geographically balanced?","author":[{"family":"Chan","given":"Sander"},{"family":"Falkner","given":"Robert"},{"family":"Goldberg","given":"Matthew"},{"family":"Asselt","given":"Harro","dropping-particle":"van"}],"issued":{"date-parts":[["2018",1,2]]}}}],"schema":"https://github.com/citation-style-language/schema/raw/master/csl-citation.json"} </w:instrText>
      </w:r>
      <w:r w:rsidR="00667874" w:rsidRPr="00096A22">
        <w:fldChar w:fldCharType="separate"/>
      </w:r>
      <w:r w:rsidR="004A7123" w:rsidRPr="007344DD">
        <w:rPr>
          <w:rFonts w:ascii="Calibri" w:hAnsi="Calibri" w:cs="Calibri"/>
        </w:rPr>
        <w:t>(2018)</w:t>
      </w:r>
      <w:r w:rsidR="00667874" w:rsidRPr="00096A22">
        <w:fldChar w:fldCharType="end"/>
      </w:r>
      <w:r w:rsidR="00667874" w:rsidRPr="00096A22">
        <w:t xml:space="preserve"> uses is not assessing the achievement of mitigation or adaptation objectives. </w:t>
      </w:r>
      <w:r w:rsidR="00FC67DA">
        <w:t>Instead,</w:t>
      </w:r>
      <w:r w:rsidR="00FC67DA" w:rsidRPr="00096A22">
        <w:t xml:space="preserve"> </w:t>
      </w:r>
      <w:r w:rsidR="00667874" w:rsidRPr="00096A22">
        <w:t xml:space="preserve">the metric of successful output is that </w:t>
      </w:r>
      <w:r w:rsidR="00FC67DA">
        <w:t>an</w:t>
      </w:r>
      <w:r w:rsidR="00FC67DA" w:rsidRPr="00096A22">
        <w:t xml:space="preserve"> </w:t>
      </w:r>
      <w:r w:rsidR="00667874" w:rsidRPr="00096A22">
        <w:t>MSP’s outcomes f</w:t>
      </w:r>
      <w:r w:rsidR="00B9410E" w:rsidRPr="00096A22">
        <w:t>it with its stated objectives.</w:t>
      </w:r>
    </w:p>
    <w:p w14:paraId="4FCF4172" w14:textId="0F847F8B" w:rsidR="00667874" w:rsidRPr="00096A22" w:rsidRDefault="00667874" w:rsidP="00667874">
      <w:r w:rsidRPr="00096A22">
        <w:rPr>
          <w:b/>
          <w:i/>
        </w:rPr>
        <w:t>The existing research suggests that a key question</w:t>
      </w:r>
      <w:r w:rsidR="00A20488">
        <w:rPr>
          <w:b/>
          <w:i/>
        </w:rPr>
        <w:t xml:space="preserve"> is what the metric for success should be</w:t>
      </w:r>
      <w:r w:rsidRPr="00096A22">
        <w:rPr>
          <w:b/>
          <w:i/>
        </w:rPr>
        <w:t xml:space="preserve"> </w:t>
      </w:r>
      <w:r w:rsidR="00A20488">
        <w:rPr>
          <w:b/>
          <w:i/>
        </w:rPr>
        <w:t>for</w:t>
      </w:r>
      <w:r w:rsidRPr="00096A22">
        <w:rPr>
          <w:b/>
          <w:i/>
        </w:rPr>
        <w:t xml:space="preserve"> MSPs in the achievement of the SDGs.</w:t>
      </w:r>
      <w:r w:rsidRPr="00096A22">
        <w:t xml:space="preserve"> For example, quantifying success based on GHG reductions fails to capture the host of governance functions that can potentially contribute to improving mitigation and adaptation performance but are not easily directly associated with quantifiable physical outcomes (i.e. GHG reductions). The FOF metric is thus based on the view that if an MSP is actually performing the function it was created to perform (e.g. governance, capacity building, communication, etc…), then this contributes to the institutional context needed for advancing climate ob</w:t>
      </w:r>
      <w:r w:rsidR="00B9410E" w:rsidRPr="00096A22">
        <w:t>jectives over the long-term.</w:t>
      </w:r>
    </w:p>
    <w:p w14:paraId="5D0E81B0" w14:textId="22BE2510" w:rsidR="00667874" w:rsidRPr="00096A22" w:rsidRDefault="00667874" w:rsidP="00667874">
      <w:r w:rsidRPr="007344DD">
        <w:rPr>
          <w:lang w:val="sv-SE"/>
        </w:rPr>
        <w:t xml:space="preserve">Interestingly, </w:t>
      </w:r>
      <w:r w:rsidR="004818AF" w:rsidRPr="007344DD">
        <w:rPr>
          <w:lang w:val="sv-SE"/>
        </w:rPr>
        <w:t>van der Ven</w:t>
      </w:r>
      <w:r w:rsidR="00257B38" w:rsidRPr="007344DD">
        <w:rPr>
          <w:lang w:val="sv-SE"/>
        </w:rPr>
        <w:t xml:space="preserve"> et al.</w:t>
      </w:r>
      <w:r w:rsidR="004818AF" w:rsidRPr="007344DD">
        <w:rPr>
          <w:lang w:val="sv-SE"/>
        </w:rPr>
        <w:t xml:space="preserve"> </w:t>
      </w:r>
      <w:r w:rsidRPr="00096A22">
        <w:fldChar w:fldCharType="begin"/>
      </w:r>
      <w:r w:rsidR="004A7123" w:rsidRPr="007344DD">
        <w:rPr>
          <w:lang w:val="sv-SE"/>
        </w:rPr>
        <w:instrText xml:space="preserve"> ADDIN ZOTERO_ITEM CSL_CITATION {"citationID":"atv0m513o2","properties":{"formattedCitation":"(van der Ven et al. 2016)","plainCitation":"(van der Ven et al. 2016)","noteIndex":0},"citationItems":[{"id":"GGZNlT61/yWWH6Lml","uris":["http://zotero.org/users/4803578/items/442MS2DX"],"uri":["http://zotero.org/users/4803578/items/442MS2DX"],"itemData":{"id":55,"type":"article-journal","title":"Valuing the Contributions of Nonstate and Subnational Actors to Climate Governance","container-title":"Global Environmental Politics","page":"1-20","volume":"17","issue":"1","source":"MIT Press Journals","abstract":"Nonstate and subnational climate governance activities are proliferating. Alongside them are databases and registries that attempt to calculate their contributions to global decarbonization. We label these registries “orchestration platforms” because they both aggregate disparate initiatives and attempt to steer them toward overarching objectives such as improved transparency, accountability, and effectiv</w:instrText>
      </w:r>
      <w:r w:rsidR="004A7123" w:rsidRPr="00D526BA">
        <w:rPr>
          <w:lang w:val="en-US"/>
        </w:rPr>
        <w:instrText xml:space="preserve">eness. While well-intentioned, many orchestration platforms adopt a narrow conception of “value” as either quantifiable greenhouse gas (GHG) reductions or relevant outputs. We offer a more comprehensive approach to valuing nonstate and subnational climate governance that is rooted in recognizing the potential for initiatives to become far-reaching (i.e., achieve scale) and durable (i.e., become entrenched). We illustrate the comparative advantage of our approach with reference to a particular case of nonstate governance: The Carbon Trust’s attempt to create product carbon footprints. By tracing the direct and indirect impacts of product carbon footprinting, we show that initial failures to generate quantifiable GHG reductions or produce relevant outputs do not reflect the intervention’s broader impacts through scaling to other jurisdictions and entrenching business practices that contribute to decarbonization. Taking this broader view of “value” can help policy-makers better understand and gauge the contribution of nonstate and subnational climate governance to global decarbonization.","DOI":"10.1162/GLEP_a_00387","ISSN":"1526-3800","journalAbbreviation":"Global Environmental Politics","author":[{"family":"Ven","given":"Hamish","non-dropping-particle":"van der"},{"family":"Bernstein","given":"Steven"},{"family":"Hoffmann","given":"Matthew"}],"issued":{"date-parts":[["2016",12,22]]}}}],"schema":"https://github.com/citation-style-language/schema/raw/master/csl-citation.json"} </w:instrText>
      </w:r>
      <w:r w:rsidRPr="00096A22">
        <w:fldChar w:fldCharType="separate"/>
      </w:r>
      <w:r w:rsidR="004A7123" w:rsidRPr="007344DD">
        <w:rPr>
          <w:rFonts w:ascii="Calibri" w:hAnsi="Calibri" w:cs="Calibri"/>
        </w:rPr>
        <w:t>(2016)</w:t>
      </w:r>
      <w:r w:rsidRPr="00096A22">
        <w:fldChar w:fldCharType="end"/>
      </w:r>
      <w:r w:rsidRPr="00096A22">
        <w:t xml:space="preserve"> argue that the FOF metric is itself overly narrow because it focuses too heavily on quantifiable metrics, namely measures of output fit. These authors propose a broader standard of assessment, which they describe as </w:t>
      </w:r>
      <w:r w:rsidR="004D5FA1">
        <w:t>“</w:t>
      </w:r>
      <w:r w:rsidRPr="00096A22">
        <w:t>the potential to contribute to transformative change</w:t>
      </w:r>
      <w:r w:rsidR="004D5FA1">
        <w:t>”</w:t>
      </w:r>
      <w:r w:rsidRPr="00096A22">
        <w:t xml:space="preserve">. They specify this standard of success as engaging in activities that have the capacity to </w:t>
      </w:r>
      <w:r w:rsidR="000C097D">
        <w:t>“</w:t>
      </w:r>
      <w:r w:rsidRPr="00096A22">
        <w:t>scale up</w:t>
      </w:r>
      <w:r w:rsidR="000C097D">
        <w:t>”</w:t>
      </w:r>
      <w:r w:rsidRPr="00096A22">
        <w:t xml:space="preserve"> and the potential to become entrenched in broader institutional frameworks </w:t>
      </w:r>
      <w:r w:rsidRPr="00096A22">
        <w:fldChar w:fldCharType="begin"/>
      </w:r>
      <w:r w:rsidR="004A7123">
        <w:instrText xml:space="preserve"> ADDIN ZOTERO_ITEM CSL_CITATION {"citationID":"a1ik0trherq","properties":{"formattedCitation":"(van der Ven et al. 2016)","plainCitation":"(van der Ven et al. 2016)","noteIndex":0},"citationItems":[{"id":"GGZNlT61/yWWH6Lml","uris":["http://zotero.org/users/4803578/items/442MS2DX"],"uri":["http://zotero.org/users/4803578/items/442MS2DX"],"itemData":{"id":55,"type":"article-journal","title":"Valuing the Contributions of Nonstate and Subnational Actors to Climate Governance","container-title":"Global Environmental Politics","page":"1-20","volume":"17","issue":"1","source":"MIT Press Journals","abstract":"Nonstate and subnational climate governance activities are proliferating. Alongside them are databases and registries that attempt to calculate their contributions to global decarbonization. We label these registries “orchestration platforms” because they both aggregate disparate initiatives and attempt to steer them toward overarching objectives such as improved transparency, accountability, and effectiveness. While well-intentioned, many orchestration platforms adopt a narrow conception of “value” as either quantifiable greenhouse gas (GHG) reductions or relevant outputs. We offer a more comprehensive approach to valuing nonstate and subnational climate governance that is rooted in recognizing the potential for initiatives to become far-reaching (i.e., achieve scale) and durable (i.e., become entrenched). We illustrate the comparative advantage of our approach with reference to a particular case of nonstate governance: The Carbon Trust’s attempt to create product carbon footprints. By tracing the direct and indirect impacts of product carbon footprinting, we show that initial failures to generate quantifiable GHG reductions or produce relevant outputs do not reflect the intervention’s broader impacts through scaling to other jurisdictions and entrenching business practices that contribute to decarbonization. Taking this broader view of “value” can help policy-makers better understand and gauge the contribution of nonstate and subnational climate governance to global decarbonization.","DOI":"10.1162/GLEP_a_00387","ISSN":"1526-3800","journalAbbreviation":"Global Environmental Politics","author":[{"family":"Ven","given":"Hamish","non-dropping-particle":"van der"},{"family":"Bernstein","given":"Steven"},{"family":"Hoffmann","given":"Matthew"}],"issued":{"date-parts":[["2016",12,22]]}}}],"schema":"https://github.com/citation-style-language/schema/raw/master/csl-citation.json"} </w:instrText>
      </w:r>
      <w:r w:rsidRPr="00096A22">
        <w:fldChar w:fldCharType="separate"/>
      </w:r>
      <w:r w:rsidR="004A7123" w:rsidRPr="007344DD">
        <w:rPr>
          <w:rFonts w:ascii="Calibri" w:hAnsi="Calibri" w:cs="Calibri"/>
        </w:rPr>
        <w:t>(van der Ven et al. 2016)</w:t>
      </w:r>
      <w:r w:rsidRPr="00096A22">
        <w:fldChar w:fldCharType="end"/>
      </w:r>
      <w:r w:rsidRPr="00096A22">
        <w:t>. Their argument is that a focus on measures such as GHG emissions reductions or quantifiable FOF outputs fails to capture the political role MSPs can and should be pla</w:t>
      </w:r>
      <w:r w:rsidR="000C097D">
        <w:t>y</w:t>
      </w:r>
      <w:r w:rsidRPr="00096A22">
        <w:t>ing in bringing about deep transformative change in politica</w:t>
      </w:r>
      <w:r w:rsidR="00B9410E" w:rsidRPr="00096A22">
        <w:t>l, economic and social systems.</w:t>
      </w:r>
    </w:p>
    <w:p w14:paraId="10921D86" w14:textId="7245F0B0" w:rsidR="00667874" w:rsidRPr="00096A22" w:rsidRDefault="00667874" w:rsidP="00667874">
      <w:r w:rsidRPr="007344DD">
        <w:rPr>
          <w:lang w:val="sv-SE"/>
        </w:rPr>
        <w:t xml:space="preserve">What </w:t>
      </w:r>
      <w:r w:rsidR="000C097D" w:rsidRPr="007344DD">
        <w:rPr>
          <w:lang w:val="sv-SE"/>
        </w:rPr>
        <w:t>van der Ven</w:t>
      </w:r>
      <w:r w:rsidR="00257B38" w:rsidRPr="007344DD">
        <w:rPr>
          <w:lang w:val="sv-SE"/>
        </w:rPr>
        <w:t xml:space="preserve"> et al.</w:t>
      </w:r>
      <w:r w:rsidR="000C097D" w:rsidRPr="007344DD">
        <w:rPr>
          <w:lang w:val="sv-SE"/>
        </w:rPr>
        <w:t xml:space="preserve"> </w:t>
      </w:r>
      <w:r w:rsidRPr="00096A22">
        <w:fldChar w:fldCharType="begin"/>
      </w:r>
      <w:r w:rsidR="004A7123" w:rsidRPr="007344DD">
        <w:rPr>
          <w:lang w:val="sv-SE"/>
        </w:rPr>
        <w:instrText xml:space="preserve"> ADDIN ZOTERO_ITEM CSL_CITATION {"citationID":"ant0n9hdt","properties":{"formattedCitation":"(van der Ven et al. 2016)","plainCitation":"(van der Ven et al. 2016)","noteIndex":0},"citationItems":[{"id":"GGZNlT61/yWWH6Lml","uris":["http://zotero.org/users/4803578/items/442MS2DX"],"uri":["http://zotero.org/users/4803578/items/442MS2DX"],"itemData":{"id":55,"type":"article-journal","title":"Valuing the Contributions of Nonstate and Subnational Actors to Climate Governance","container-title":"Global Environmental Politics","page":"1-20","volume":"17","issue":"1","source":"MIT Press Journals","abstract":"Nonstate and subnational climate governance activities are proliferating. Alongside them are databases and registries that attempt to calculate their contributions to global decarbonization. We label these registries “orchestration platforms” because they both aggregate disparate initiatives and attempt to steer them toward overarching objectives such as improved transparency, accountability, and effectiv</w:instrText>
      </w:r>
      <w:r w:rsidR="004A7123" w:rsidRPr="00D526BA">
        <w:rPr>
          <w:lang w:val="en-US"/>
        </w:rPr>
        <w:instrText xml:space="preserve">eness. While well-intentioned, many orchestration platforms adopt a narrow conception of “value” as either quantifiable greenhouse gas (GHG) reductions or relevant outputs. We offer a more comprehensive approach to valuing nonstate and subnational climate governance that is rooted in recognizing the potential for initiatives to become far-reaching (i.e., achieve scale) and durable (i.e., become entrenched). We illustrate the comparative advantage of our approach with reference to a particular case of nonstate governance: The Carbon Trust’s attempt to create product carbon footprints. By tracing the direct and indirect impacts of product carbon footprinting, we show that initial failures to generate quantifiable GHG reductions or produce relevant outputs do not reflect the intervention’s broader impacts through scaling to other jurisdictions and entrenching business practices that contribute to decarbonization. Taking this broader view of “value” can help policy-makers better understand and gauge the contribution of nonstate and subnational climate governance to global decarbonization.","DOI":"10.1162/GLEP_a_00387","ISSN":"1526-3800","journalAbbreviation":"Global Environmental Politics","author":[{"family":"Ven","given":"Hamish","non-dropping-particle":"van der"},{"family":"Bernstein","given":"Steven"},{"family":"Hoffmann","given":"Matthew"}],"issued":{"date-parts":[["2016",12,22]]}}}],"schema":"https://github.com/citation-style-language/schema/raw/master/csl-citation.json"} </w:instrText>
      </w:r>
      <w:r w:rsidRPr="00096A22">
        <w:fldChar w:fldCharType="separate"/>
      </w:r>
      <w:r w:rsidR="004A7123" w:rsidRPr="007344DD">
        <w:rPr>
          <w:rFonts w:ascii="Calibri" w:hAnsi="Calibri" w:cs="Calibri"/>
        </w:rPr>
        <w:t>(2016)</w:t>
      </w:r>
      <w:r w:rsidRPr="00096A22">
        <w:fldChar w:fldCharType="end"/>
      </w:r>
      <w:r w:rsidRPr="00096A22">
        <w:t xml:space="preserve"> are suggesting is that when the goal is a deep transformation of how our political and economic systems work, the first steps are not likely to be easily quantifiable. They argue that MSPs can have complex system effects, non-linear effects, and unintentional indirect effects, and highlight in particular unintended “catalytic” long-term effects that are not quantifiable. Thus,</w:t>
      </w:r>
      <w:r w:rsidR="000C097D" w:rsidRPr="000C097D">
        <w:t xml:space="preserve"> </w:t>
      </w:r>
      <w:r w:rsidR="000C097D" w:rsidRPr="00096A22">
        <w:t>van der Ven</w:t>
      </w:r>
      <w:r w:rsidR="00257B38">
        <w:t xml:space="preserve"> et al.</w:t>
      </w:r>
      <w:r w:rsidRPr="00096A22">
        <w:t xml:space="preserve"> </w:t>
      </w:r>
      <w:r w:rsidRPr="00096A22">
        <w:fldChar w:fldCharType="begin"/>
      </w:r>
      <w:r w:rsidR="004A7123">
        <w:instrText xml:space="preserve"> ADDIN ZOTERO_ITEM CSL_CITATION {"citationID":"a27vkgn6olp","properties":{"formattedCitation":"(van der Ven et al. 2016)","plainCitation":"(van der Ven et al. 2016)","noteIndex":0},"citationItems":[{"id":"GGZNlT61/yWWH6Lml","uris":["http://zotero.org/users/4803578/items/442MS2DX"],"uri":["http://zotero.org/users/4803578/items/442MS2DX"],"itemData":{"id":55,"type":"article-journal","title":"Valuing the Contributions of Nonstate and Subnational Actors to Climate Governance","container-title":"Global Environmental Politics","page":"1-20","volume":"17","issue":"1","source":"MIT Press Journals","abstract":"Nonstate and subnational climate governance activities are proliferating. Alongside them are databases and registries that attempt to calculate their contributions to global decarbonization. We label these registries “orchestration platforms” because they both aggregate disparate initiatives and attempt to steer them toward overarching objectives such as improved transparency, accountability, and effectiveness. While well-intentioned, many orchestration platforms adopt a narrow conception of “value” as either quantifiable greenhouse gas (GHG) reductions or relevant outputs. We offer a more comprehensive approach to valuing nonstate and subnational climate governance that is rooted in recognizing the potential for initiatives to become far-reaching (i.e., achieve scale) and durable (i.e., become entrenched). We illustrate the comparative advantage of our approach with reference to a particular case of nonstate governance: The Carbon Trust’s attempt to create product carbon footprints. By tracing the direct and indirect impacts of product carbon footprinting, we show that initial failures to generate quantifiable GHG reductions or produce relevant outputs do not reflect the intervention’s broader impacts through scaling to other jurisdictions and entrenching business practices that contribute to decarbonization. Taking this broader view of “value” can help policy-makers better understand and gauge the contribution of nonstate and subnational climate governance to global decarbonization.","DOI":"10.1162/GLEP_a_00387","ISSN":"1526-3800","journalAbbreviation":"Global Environmental Politics","author":[{"family":"Ven","given":"Hamish","non-dropping-particle":"van der"},{"family":"Bernstein","given":"Steven"},{"family":"Hoffmann","given":"Matthew"}],"issued":{"date-parts":[["2016",12,22]]}}}],"schema":"https://github.com/citation-style-language/schema/raw/master/csl-citation.json"} </w:instrText>
      </w:r>
      <w:r w:rsidRPr="00096A22">
        <w:fldChar w:fldCharType="separate"/>
      </w:r>
      <w:r w:rsidR="004A7123" w:rsidRPr="007344DD">
        <w:rPr>
          <w:rFonts w:ascii="Calibri" w:hAnsi="Calibri" w:cs="Calibri"/>
        </w:rPr>
        <w:t>(2016)</w:t>
      </w:r>
      <w:r w:rsidRPr="00096A22">
        <w:fldChar w:fldCharType="end"/>
      </w:r>
      <w:r w:rsidRPr="00096A22">
        <w:t xml:space="preserve"> suggest that MSPs should be evaluated on their potential to create entrenched </w:t>
      </w:r>
      <w:r w:rsidR="000C097D">
        <w:t>“</w:t>
      </w:r>
      <w:r w:rsidRPr="00096A22">
        <w:t>path dependencies</w:t>
      </w:r>
      <w:r w:rsidR="000C097D">
        <w:t>”</w:t>
      </w:r>
      <w:r w:rsidRPr="00096A22">
        <w:t xml:space="preserve"> that can scale</w:t>
      </w:r>
      <w:r w:rsidR="000C097D">
        <w:t xml:space="preserve"> </w:t>
      </w:r>
      <w:r w:rsidRPr="00096A22">
        <w:t>up well beyond the context of the MSP itself. These authors also emphasis that once we think of MSPs in these ways</w:t>
      </w:r>
      <w:r w:rsidR="000C097D">
        <w:t>,</w:t>
      </w:r>
      <w:r w:rsidRPr="00096A22">
        <w:t xml:space="preserve"> we can also see how their systemic effects can be both positive or </w:t>
      </w:r>
      <w:r w:rsidR="004837FA">
        <w:t xml:space="preserve">(unintentionally) </w:t>
      </w:r>
      <w:r w:rsidRPr="00096A22">
        <w:t xml:space="preserve">negative in relation to the </w:t>
      </w:r>
      <w:r w:rsidR="002B7767">
        <w:t>SDGs</w:t>
      </w:r>
      <w:r w:rsidR="00B9410E" w:rsidRPr="00096A22">
        <w:t xml:space="preserve"> they aim to bring about.</w:t>
      </w:r>
    </w:p>
    <w:p w14:paraId="50835653" w14:textId="39DE2A97" w:rsidR="00667874" w:rsidRPr="00096A22" w:rsidRDefault="00667874" w:rsidP="00013C53">
      <w:r w:rsidRPr="00096A22">
        <w:rPr>
          <w:b/>
          <w:i/>
        </w:rPr>
        <w:t xml:space="preserve">This debate over metrics is at the forefront of research in this field and points to the need for more theoretical work on </w:t>
      </w:r>
      <w:r w:rsidR="004837FA">
        <w:rPr>
          <w:b/>
          <w:i/>
        </w:rPr>
        <w:t>the ultimate aim of</w:t>
      </w:r>
      <w:r w:rsidR="004837FA" w:rsidRPr="00096A22">
        <w:rPr>
          <w:b/>
          <w:i/>
        </w:rPr>
        <w:t xml:space="preserve"> </w:t>
      </w:r>
      <w:r w:rsidRPr="00096A22">
        <w:rPr>
          <w:b/>
          <w:i/>
        </w:rPr>
        <w:t>MSP performance evaluation.</w:t>
      </w:r>
      <w:r w:rsidRPr="00096A22">
        <w:t xml:space="preserve"> For example, it may be correct that existing performance indicators miss unintended, indirect and long-term </w:t>
      </w:r>
      <w:r w:rsidRPr="00096A22">
        <w:lastRenderedPageBreak/>
        <w:t>outputs. However, many of</w:t>
      </w:r>
      <w:r w:rsidR="009434B2">
        <w:t xml:space="preserve"> the suggestions from </w:t>
      </w:r>
      <w:r w:rsidR="009434B2" w:rsidRPr="00096A22">
        <w:t>van der Ven</w:t>
      </w:r>
      <w:r w:rsidR="00257B38">
        <w:t xml:space="preserve"> et al.</w:t>
      </w:r>
      <w:r w:rsidRPr="00096A22">
        <w:fldChar w:fldCharType="begin"/>
      </w:r>
      <w:r w:rsidR="004A7123">
        <w:instrText xml:space="preserve"> ADDIN ZOTERO_ITEM CSL_CITATION {"citationID":"ap1iedjpo1","properties":{"formattedCitation":"(van der Ven et al. 2016)","plainCitation":"(van der Ven et al. 2016)","noteIndex":0},"citationItems":[{"id":"GGZNlT61/yWWH6Lml","uris":["http://zotero.org/users/4803578/items/442MS2DX"],"uri":["http://zotero.org/users/4803578/items/442MS2DX"],"itemData":{"id":55,"type":"article-journal","title":"Valuing the Contributions of Nonstate and Subnational Actors to Climate Governance","container-title":"Global Environmental Politics","page":"1-20","volume":"17","issue":"1","source":"MIT Press Journals","abstract":"Nonstate and subnational climate governance activities are proliferating. Alongside them are databases and registries that attempt to calculate their contributions to global decarbonization. We label these registries “orchestration platforms” because they both aggregate disparate initiatives and attempt to steer them toward overarching objectives such as improved transparency, accountability, and effectiveness. While well-intentioned, many orchestration platforms adopt a narrow conception of “value” as either quantifiable greenhouse gas (GHG) reductions or relevant outputs. We offer a more comprehensive approach to valuing nonstate and subnational climate governance that is rooted in recognizing the potential for initiatives to become far-reaching (i.e., achieve scale) and durable (i.e., become entrenched). We illustrate the comparative advantage of our approach with reference to a particular case of nonstate governance: The Carbon Trust’s attempt to create product carbon footprints. By tracing the direct and indirect impacts of product carbon footprinting, we show that initial failures to generate quantifiable GHG reductions or produce relevant outputs do not reflect the intervention’s broader impacts through scaling to other jurisdictions and entrenching business practices that contribute to decarbonization. Taking this broader view of “value” can help policy-makers better understand and gauge the contribution of nonstate and subnational climate governance to global decarbonization.","DOI":"10.1162/GLEP_a_00387","ISSN":"1526-3800","journalAbbreviation":"Global Environmental Politics","author":[{"family":"Ven","given":"Hamish","non-dropping-particle":"van der"},{"family":"Bernstein","given":"Steven"},{"family":"Hoffmann","given":"Matthew"}],"issued":{"date-parts":[["2016",12,22]]}}}],"schema":"https://github.com/citation-style-language/schema/raw/master/csl-citation.json"} </w:instrText>
      </w:r>
      <w:r w:rsidRPr="00096A22">
        <w:fldChar w:fldCharType="separate"/>
      </w:r>
      <w:r w:rsidR="004A7123" w:rsidRPr="007344DD">
        <w:rPr>
          <w:rFonts w:ascii="Calibri" w:hAnsi="Calibri" w:cs="Calibri"/>
        </w:rPr>
        <w:t>(2016)</w:t>
      </w:r>
      <w:r w:rsidRPr="00096A22">
        <w:fldChar w:fldCharType="end"/>
      </w:r>
      <w:r w:rsidRPr="00096A22">
        <w:t xml:space="preserve"> on how to evaluate MSPs appear more conducive to ex</w:t>
      </w:r>
      <w:r w:rsidR="0032505C">
        <w:t xml:space="preserve"> </w:t>
      </w:r>
      <w:r w:rsidRPr="00096A22">
        <w:t>post explanations of the success or failure of various cases</w:t>
      </w:r>
      <w:r w:rsidR="0032505C">
        <w:t>. They do not appear</w:t>
      </w:r>
      <w:r w:rsidRPr="00096A22">
        <w:t xml:space="preserve"> well suited to ex</w:t>
      </w:r>
      <w:r w:rsidR="0032505C">
        <w:t xml:space="preserve"> </w:t>
      </w:r>
      <w:r w:rsidRPr="00096A22">
        <w:t>ante analyses with the objective of giving prescriptions on how limited resources should be used to bring about SDG achievement. How could we systematically identify ex</w:t>
      </w:r>
      <w:r w:rsidR="0032505C">
        <w:t xml:space="preserve"> </w:t>
      </w:r>
      <w:r w:rsidRPr="00096A22">
        <w:t>ante</w:t>
      </w:r>
      <w:r w:rsidR="00A362D9">
        <w:t>,</w:t>
      </w:r>
      <w:r w:rsidRPr="00096A22">
        <w:t xml:space="preserve"> unintended</w:t>
      </w:r>
      <w:r w:rsidR="00A362D9">
        <w:t>-</w:t>
      </w:r>
      <w:r w:rsidRPr="00096A22">
        <w:t>yet</w:t>
      </w:r>
      <w:r w:rsidR="00A362D9">
        <w:t>-</w:t>
      </w:r>
      <w:r w:rsidRPr="00096A22">
        <w:t xml:space="preserve">positive system-disruptive path dependencies? </w:t>
      </w:r>
      <w:r w:rsidR="003D5779">
        <w:rPr>
          <w:b/>
          <w:i/>
        </w:rPr>
        <w:t>T</w:t>
      </w:r>
      <w:r w:rsidRPr="00096A22">
        <w:rPr>
          <w:b/>
          <w:i/>
        </w:rPr>
        <w:t>heoretical work</w:t>
      </w:r>
      <w:r w:rsidR="003D5779">
        <w:rPr>
          <w:b/>
          <w:i/>
        </w:rPr>
        <w:t xml:space="preserve"> is needed on both</w:t>
      </w:r>
      <w:r w:rsidRPr="00096A22">
        <w:rPr>
          <w:b/>
          <w:i/>
        </w:rPr>
        <w:t xml:space="preserve"> the appropriate role of and expectations from MSPs in sustainable development transitions and on the role of MSP evaluations and how best to execute them</w:t>
      </w:r>
      <w:r w:rsidR="003D5779">
        <w:rPr>
          <w:b/>
          <w:i/>
        </w:rPr>
        <w:t xml:space="preserve">. This work </w:t>
      </w:r>
      <w:r w:rsidRPr="00096A22">
        <w:rPr>
          <w:b/>
          <w:i/>
        </w:rPr>
        <w:t>should inform efforts to develop a better empirical base for MSP evaluation.</w:t>
      </w:r>
    </w:p>
    <w:p w14:paraId="59939447" w14:textId="77777777" w:rsidR="00667874" w:rsidRPr="00096A22" w:rsidRDefault="00667874" w:rsidP="00013C53">
      <w:pPr>
        <w:pStyle w:val="Heading2"/>
      </w:pPr>
      <w:bookmarkStart w:id="40" w:name="_Toc529789847"/>
      <w:r w:rsidRPr="00096A22">
        <w:t>Design principles for MSPs?</w:t>
      </w:r>
      <w:bookmarkEnd w:id="40"/>
    </w:p>
    <w:p w14:paraId="0DAC57BD" w14:textId="5480281E" w:rsidR="00667874" w:rsidRPr="00096A22" w:rsidRDefault="00667874" w:rsidP="00667874">
      <w:r w:rsidRPr="00096A22">
        <w:t>Given the apparent weak basis for assessing the effectiveness of MSPs and significant disagreement on the appropriate metrics of assessment, there are clear limits to the reliability of design principles for MSPs coming out of the academic literature. However,</w:t>
      </w:r>
      <w:r w:rsidR="009512A1">
        <w:t xml:space="preserve"> </w:t>
      </w:r>
      <w:r w:rsidR="009512A1" w:rsidRPr="00096A22">
        <w:t>Pattberg and Widerberg</w:t>
      </w:r>
      <w:r w:rsidRPr="00096A22">
        <w:t xml:space="preserve"> </w:t>
      </w:r>
      <w:r w:rsidRPr="00096A22">
        <w:fldChar w:fldCharType="begin"/>
      </w:r>
      <w:r w:rsidR="004A7123">
        <w:instrText xml:space="preserve"> ADDIN ZOTERO_ITEM CSL_CITATION {"citationID":"a1b8foq8h48","properties":{"formattedCitation":"(Pattberg and Widerberg 2016)","plainCitation":"(Pattberg and Widerberg 2016)","noteIndex":0},"citationItems":[{"id":"GGZNlT61/7V2qm2kP","uris":["http://zotero.org/users/4803578/items/G4BVNY63"],"uri":["http://zotero.org/users/4803578/items/G4BVNY63"],"itemData":{"id":53,"type":"article-journal","title":"Transnational multistakeholder partnerships for sustainable development: Conditions for success","container-title":"Ambio","page":"42–51","volume":"45","issue":"1","source":"Google Scholar","shortTitle":"Transnational multistakeholder partnerships for sustainable development","author":[{"family":"Pattberg","given":"Philipp"},{"family":"Widerberg","given":"Oscar"}],"issued":{"date-parts":[["2016"]]}}}],"schema":"https://github.com/citation-style-language/schema/raw/master/csl-citation.json"} </w:instrText>
      </w:r>
      <w:r w:rsidRPr="00096A22">
        <w:fldChar w:fldCharType="separate"/>
      </w:r>
      <w:r w:rsidR="004A7123" w:rsidRPr="007344DD">
        <w:rPr>
          <w:rFonts w:ascii="Calibri" w:hAnsi="Calibri" w:cs="Calibri"/>
        </w:rPr>
        <w:t>(2016)</w:t>
      </w:r>
      <w:r w:rsidRPr="00096A22">
        <w:fldChar w:fldCharType="end"/>
      </w:r>
      <w:r w:rsidRPr="00096A22">
        <w:t xml:space="preserve"> do provide a very helpful review of this literature. They find nine key recommendations: (1) an optimal partner mix, (2) effective leadership, (3) stringent goal-setting, (4) sustained funding, (5) professional process management, (6) regular monitoring, reporting, and evaluation, (7) active meta-governance, (8) favourable political and social context, and (9) fit to problem-structure </w:t>
      </w:r>
      <w:r w:rsidRPr="00096A22">
        <w:fldChar w:fldCharType="begin"/>
      </w:r>
      <w:r w:rsidR="004A7123">
        <w:instrText xml:space="preserve"> ADDIN ZOTERO_ITEM CSL_CITATION {"citationID":"av8p0i3ssm","properties":{"formattedCitation":"(Pattberg and Widerberg 2016, p.46)","plainCitation":"(Pattberg and Widerberg 2016, p.46)","noteIndex":0},"citationItems":[{"id":"GGZNlT61/7V2qm2kP","uris":["http://zotero.org/users/4803578/items/G4BVNY63"],"uri":["http://zotero.org/users/4803578/items/G4BVNY63"],"itemData":{"id":53,"type":"article-journal","title":"Transnational multistakeholder partnerships for sustainable development: Conditions for success","container-title":"Ambio","page":"42–51","volume":"45","issue":"1","source":"Google Scholar","shortTitle":"Transnational multistakeholder partnerships for sustainable development","author":[{"family":"Pattberg","given":"Philipp"},{"family":"Widerberg","given":"Oscar"}],"issued":{"date-parts":[["2016"]]}},"locator":"46"}],"schema":"https://github.com/citation-style-language/schema/raw/master/csl-citation.json"} </w:instrText>
      </w:r>
      <w:r w:rsidRPr="00096A22">
        <w:fldChar w:fldCharType="separate"/>
      </w:r>
      <w:r w:rsidR="004A7123" w:rsidRPr="007344DD">
        <w:rPr>
          <w:rFonts w:ascii="Calibri" w:hAnsi="Calibri" w:cs="Calibri"/>
        </w:rPr>
        <w:t>(Pattberg and Widerberg 2016, p.46)</w:t>
      </w:r>
      <w:r w:rsidRPr="00096A22">
        <w:fldChar w:fldCharType="end"/>
      </w:r>
      <w:r w:rsidRPr="00096A22">
        <w:t>.</w:t>
      </w:r>
    </w:p>
    <w:p w14:paraId="27AEAF60" w14:textId="4702F179" w:rsidR="00667874" w:rsidRPr="00096A22" w:rsidRDefault="00667874" w:rsidP="00667874">
      <w:r w:rsidRPr="00096A22">
        <w:t>One striking observation is that the standards of institutional capacity outlined above look more appropriate for major public authorities or major corporations.</w:t>
      </w:r>
      <w:r w:rsidR="004A7123">
        <w:t xml:space="preserve"> </w:t>
      </w:r>
      <w:r w:rsidRPr="00096A22">
        <w:t>If the benefits of MSPs are supposed to be features such as flexibility and bringing together actors tha</w:t>
      </w:r>
      <w:r w:rsidR="00676596">
        <w:t>t</w:t>
      </w:r>
      <w:r w:rsidRPr="00096A22">
        <w:t xml:space="preserve"> do not or cannot normally cooperate in tight institutional organisations, then there also appear to be costs associated with the highly institutionalised structures implied by the nine design principles above. </w:t>
      </w:r>
      <w:r w:rsidRPr="00096A22">
        <w:rPr>
          <w:b/>
          <w:i/>
        </w:rPr>
        <w:t>Given such high expectations on the operational capacities that need to be in place for MSPs to be effective, the existing literature raises questions about the realistic scope for MSPs in bringing about the SDGs. In other words, to what extent do gaps in governance point to a key role for MSPs and to what extent can gaps only be addressed by improving the capacity of traditional authorities?</w:t>
      </w:r>
      <w:r w:rsidRPr="00096A22">
        <w:t xml:space="preserve"> </w:t>
      </w:r>
      <w:r w:rsidRPr="00096A22">
        <w:rPr>
          <w:b/>
          <w:i/>
        </w:rPr>
        <w:t>This question also points to the importance of more comparative research examining why some sustainable</w:t>
      </w:r>
      <w:r w:rsidR="00676596">
        <w:rPr>
          <w:b/>
          <w:i/>
        </w:rPr>
        <w:t>-</w:t>
      </w:r>
      <w:r w:rsidRPr="00096A22">
        <w:rPr>
          <w:b/>
          <w:i/>
        </w:rPr>
        <w:t>development</w:t>
      </w:r>
      <w:r w:rsidR="00676596">
        <w:rPr>
          <w:b/>
          <w:i/>
        </w:rPr>
        <w:t>-</w:t>
      </w:r>
      <w:r w:rsidRPr="00096A22">
        <w:rPr>
          <w:b/>
          <w:i/>
        </w:rPr>
        <w:t>oriented MSPs are successful in closing achievement gaps while others are less so.</w:t>
      </w:r>
      <w:r w:rsidRPr="00096A22">
        <w:t xml:space="preserve"> Such research can contribute to our understanding of the underlying conditions for effective MSPs by identify</w:t>
      </w:r>
      <w:r w:rsidR="0066335F">
        <w:t>ing</w:t>
      </w:r>
      <w:r w:rsidRPr="00096A22">
        <w:t xml:space="preserve"> why some mixes of sector activity, objectives</w:t>
      </w:r>
      <w:r w:rsidR="0066335F">
        <w:t xml:space="preserve"> </w:t>
      </w:r>
      <w:r w:rsidRPr="00096A22">
        <w:t>and actor constellations are well placed to advance sustainable development objectives while others are not. This work has the potential to help facilitate more targeted MSP efforts for the achievement of SDGs.</w:t>
      </w:r>
    </w:p>
    <w:p w14:paraId="738AB4D0" w14:textId="77777777" w:rsidR="006648C2" w:rsidRPr="00096A22" w:rsidRDefault="00654EF0" w:rsidP="00654EF0">
      <w:pPr>
        <w:pStyle w:val="Heading2"/>
      </w:pPr>
      <w:bookmarkStart w:id="41" w:name="_Toc529789848"/>
      <w:r w:rsidRPr="00096A22">
        <w:t>Expert recommendations (workshop outputs)</w:t>
      </w:r>
      <w:bookmarkEnd w:id="41"/>
    </w:p>
    <w:p w14:paraId="2B477F95" w14:textId="48F0E28B" w:rsidR="00654EF0" w:rsidRPr="00096A22" w:rsidRDefault="00654EF0" w:rsidP="00654EF0">
      <w:r w:rsidRPr="00096A22">
        <w:t>The experts that participated in the workshop on SDG 17 had a number of recommendations for further research on MSPs. Broadly</w:t>
      </w:r>
      <w:r w:rsidR="009D733B">
        <w:t>,</w:t>
      </w:r>
      <w:r w:rsidRPr="00096A22">
        <w:t xml:space="preserve"> the experts advanced a set of recommendations focused on 1) practice-oriented questions about how to design MSPs to achieved desired outcomes and 2) academic</w:t>
      </w:r>
      <w:r w:rsidR="009D733B">
        <w:t>-</w:t>
      </w:r>
      <w:r w:rsidRPr="00096A22">
        <w:t>oriented questions for better understanding</w:t>
      </w:r>
      <w:r w:rsidR="009D733B">
        <w:t xml:space="preserve"> of</w:t>
      </w:r>
      <w:r w:rsidRPr="00096A22">
        <w:t xml:space="preserve"> MSPs as a governance phenomenon.</w:t>
      </w:r>
    </w:p>
    <w:p w14:paraId="70F63FE2" w14:textId="2F8A23E6" w:rsidR="00654EF0" w:rsidRPr="00096A22" w:rsidRDefault="00654EF0" w:rsidP="00654EF0">
      <w:r w:rsidRPr="00096A22">
        <w:t xml:space="preserve">Workshop participants identified a need to develop MSP platforms that could better facilitate involvement from different sectoral stakeholders (e.g. private </w:t>
      </w:r>
      <w:r w:rsidR="009D733B">
        <w:t>and</w:t>
      </w:r>
      <w:r w:rsidRPr="00096A22">
        <w:t xml:space="preserve"> governmental) and to draw lessons learned from existing MSP platforms. Participants also saw a need to identify ways to </w:t>
      </w:r>
      <w:r w:rsidRPr="00096A22">
        <w:lastRenderedPageBreak/>
        <w:t xml:space="preserve">ensure that MSPs for SDG advancement are representative </w:t>
      </w:r>
      <w:r w:rsidR="009D733B">
        <w:t xml:space="preserve">of </w:t>
      </w:r>
      <w:r w:rsidRPr="00096A22">
        <w:t>all countries and give voice to less powerful groups. Another highlighted design issue focused on how MSPs address conflicts of interest within partnerships. How do such conflict</w:t>
      </w:r>
      <w:r w:rsidR="009D733B">
        <w:t>s</w:t>
      </w:r>
      <w:r w:rsidRPr="00096A22">
        <w:t xml:space="preserve"> impact effectiveness and legitimacy and what are the best practices for managing conflicts?</w:t>
      </w:r>
    </w:p>
    <w:p w14:paraId="31FDA941" w14:textId="2593D040" w:rsidR="00654EF0" w:rsidRPr="00096A22" w:rsidRDefault="00654EF0" w:rsidP="00654EF0">
      <w:r w:rsidRPr="00096A22">
        <w:t>Participants suggested more problematisation of the risks and potential of MSPs. Why do actors want them</w:t>
      </w:r>
      <w:r w:rsidR="00E40FD7">
        <w:t>?</w:t>
      </w:r>
      <w:r w:rsidRPr="00096A22">
        <w:t xml:space="preserve"> </w:t>
      </w:r>
      <w:r w:rsidR="00E40FD7">
        <w:t>I</w:t>
      </w:r>
      <w:r w:rsidRPr="00096A22">
        <w:t>s there clarity among various actors on what they expect MSPs to achieve</w:t>
      </w:r>
      <w:r w:rsidR="00E40FD7">
        <w:t>?</w:t>
      </w:r>
      <w:r w:rsidRPr="00096A22">
        <w:t xml:space="preserve"> </w:t>
      </w:r>
      <w:r w:rsidR="00E40FD7">
        <w:t>W</w:t>
      </w:r>
      <w:r w:rsidRPr="00096A22">
        <w:t>hat are the dynamics and outputs of partnerships that bring together actors that are not strongly motivated to cooperate with each other? Finally, the workshop participants called for the development of typologies and mapping exercises that can provide a global overview of different types of partnerships and how their constellations and purposes vary.</w:t>
      </w:r>
    </w:p>
    <w:p w14:paraId="6B52E8AB" w14:textId="77777777" w:rsidR="00654EF0" w:rsidRPr="00096A22" w:rsidRDefault="006648C2" w:rsidP="006648C2">
      <w:pPr>
        <w:pStyle w:val="Heading1"/>
      </w:pPr>
      <w:bookmarkStart w:id="42" w:name="_Toc529789849"/>
      <w:r w:rsidRPr="00096A22">
        <w:t xml:space="preserve">Expert recommendations beyond the review’s four </w:t>
      </w:r>
      <w:r w:rsidR="003766E3" w:rsidRPr="00096A22">
        <w:t xml:space="preserve">key </w:t>
      </w:r>
      <w:r w:rsidRPr="00096A22">
        <w:t>themes</w:t>
      </w:r>
      <w:bookmarkEnd w:id="42"/>
    </w:p>
    <w:p w14:paraId="66B4E1F4" w14:textId="1E4625B6" w:rsidR="006648C2" w:rsidRPr="00096A22" w:rsidRDefault="00974B6E" w:rsidP="00D9661C">
      <w:r w:rsidRPr="00096A22">
        <w:t>Given SDG 17’s very wide scope</w:t>
      </w:r>
      <w:r w:rsidR="00F00686">
        <w:t>,</w:t>
      </w:r>
      <w:r w:rsidRPr="00096A22">
        <w:t xml:space="preserve"> it is not surprising that our workshop participants identified a number of research avenues that are not directly categorised under the four themes identified for this review. </w:t>
      </w:r>
      <w:r w:rsidR="00243B4E" w:rsidRPr="00096A22">
        <w:t>One</w:t>
      </w:r>
      <w:r w:rsidR="00020482" w:rsidRPr="00096A22">
        <w:t xml:space="preserve"> suc</w:t>
      </w:r>
      <w:r w:rsidR="00EC4C43" w:rsidRPr="00096A22">
        <w:t>h</w:t>
      </w:r>
      <w:r w:rsidR="00243B4E" w:rsidRPr="00096A22">
        <w:t xml:space="preserve"> area participants identified is </w:t>
      </w:r>
      <w:r w:rsidR="00EC4C43" w:rsidRPr="00096A22">
        <w:t>the</w:t>
      </w:r>
      <w:r w:rsidR="00243B4E" w:rsidRPr="00096A22">
        <w:t xml:space="preserve"> fostering </w:t>
      </w:r>
      <w:r w:rsidR="00EC4C43" w:rsidRPr="00096A22">
        <w:t xml:space="preserve">of </w:t>
      </w:r>
      <w:r w:rsidR="00243B4E" w:rsidRPr="00096A22">
        <w:t xml:space="preserve">learning for the achievement of the SDGs. </w:t>
      </w:r>
      <w:r w:rsidR="00D9661C" w:rsidRPr="00096A22">
        <w:t xml:space="preserve">This </w:t>
      </w:r>
      <w:r w:rsidR="00F00686">
        <w:t>includes</w:t>
      </w:r>
      <w:r w:rsidR="00D9661C" w:rsidRPr="00096A22">
        <w:t xml:space="preserve"> spreading knowledge about how </w:t>
      </w:r>
      <w:r w:rsidR="00C831BF" w:rsidRPr="00096A22">
        <w:t xml:space="preserve">specific </w:t>
      </w:r>
      <w:r w:rsidR="00D9661C" w:rsidRPr="00096A22">
        <w:t xml:space="preserve">sustainable projects have been </w:t>
      </w:r>
      <w:r w:rsidR="00C831BF" w:rsidRPr="00096A22">
        <w:t>executed or how policy-making can be done in a systematic manner. Participants emphasised that one should look both at what perceived leaders</w:t>
      </w:r>
      <w:r w:rsidR="00EC4C43" w:rsidRPr="00096A22">
        <w:t xml:space="preserve"> in developed countries</w:t>
      </w:r>
      <w:r w:rsidR="00C831BF" w:rsidRPr="00096A22">
        <w:t xml:space="preserve">, like Sweden, could contribute and </w:t>
      </w:r>
      <w:r w:rsidR="00F00686">
        <w:t xml:space="preserve">in </w:t>
      </w:r>
      <w:r w:rsidR="00C831BF" w:rsidRPr="00096A22">
        <w:t>what</w:t>
      </w:r>
      <w:r w:rsidR="00F00686">
        <w:t xml:space="preserve"> ways</w:t>
      </w:r>
      <w:r w:rsidR="00C831BF" w:rsidRPr="00096A22">
        <w:t xml:space="preserve"> developing countries could help Sweden and other developed countries. In the Swedish context, some participants called for efforts to foster more learning across municipalities, and for interactions between municipalities in different countries.</w:t>
      </w:r>
      <w:r w:rsidR="004A7123">
        <w:t xml:space="preserve"> </w:t>
      </w:r>
      <w:r w:rsidR="00C831BF" w:rsidRPr="00096A22">
        <w:t xml:space="preserve">Finally, there were calls for examining how to ensure the quality of education around Agenda 2030 and </w:t>
      </w:r>
      <w:r w:rsidR="00F00686">
        <w:t xml:space="preserve">for </w:t>
      </w:r>
      <w:r w:rsidR="00C831BF" w:rsidRPr="00096A22">
        <w:t xml:space="preserve">assessments of what forms of education </w:t>
      </w:r>
      <w:r w:rsidR="00F00686">
        <w:t>result in</w:t>
      </w:r>
      <w:r w:rsidR="00F00686" w:rsidRPr="00096A22">
        <w:t xml:space="preserve"> </w:t>
      </w:r>
      <w:r w:rsidR="00C831BF" w:rsidRPr="00096A22">
        <w:t>long-term effects.</w:t>
      </w:r>
      <w:r w:rsidR="00D9661C" w:rsidRPr="00096A22">
        <w:t xml:space="preserve"> </w:t>
      </w:r>
      <w:r w:rsidR="00D9661C" w:rsidRPr="00096A22">
        <w:tab/>
      </w:r>
    </w:p>
    <w:p w14:paraId="444D34F8" w14:textId="37BF4CEC" w:rsidR="00C831BF" w:rsidRPr="00096A22" w:rsidRDefault="00EC4C43" w:rsidP="00D9661C">
      <w:r w:rsidRPr="00096A22">
        <w:t>Workshop participants also identified promoting ownership of the SDG agenda as important in all spheres for effective implementation</w:t>
      </w:r>
      <w:r w:rsidR="00D82DD9">
        <w:t>.</w:t>
      </w:r>
      <w:r w:rsidRPr="00096A22">
        <w:t xml:space="preserve"> </w:t>
      </w:r>
      <w:r w:rsidR="00D82DD9">
        <w:t>R</w:t>
      </w:r>
      <w:r w:rsidRPr="00096A22">
        <w:t>esearchers could investigate the conditions</w:t>
      </w:r>
      <w:r w:rsidR="00D82DD9">
        <w:t xml:space="preserve"> for</w:t>
      </w:r>
      <w:r w:rsidRPr="00096A22">
        <w:t xml:space="preserve"> achieving such ownership. In a similar vein, </w:t>
      </w:r>
      <w:r w:rsidR="00D82DD9">
        <w:t xml:space="preserve">participants viewed as important </w:t>
      </w:r>
      <w:r w:rsidRPr="00096A22">
        <w:t xml:space="preserve">the question of how to get the private sector to internalise the SDG agenda in business practices. </w:t>
      </w:r>
      <w:r w:rsidR="008041F6" w:rsidRPr="00096A22">
        <w:t>A question from a broad perspective that arose was how to bring about transformative change as opposed to gradual change or getting stuck in business-as-usual.</w:t>
      </w:r>
      <w:r w:rsidR="004A7123">
        <w:t xml:space="preserve"> </w:t>
      </w:r>
      <w:r w:rsidR="005F4B57" w:rsidRPr="00096A22">
        <w:t>Mapping the financing for SDG achievement (where it is coming from and going to), identifying financing gaps, and addressing choices about what to finance</w:t>
      </w:r>
      <w:r w:rsidR="006A5407" w:rsidRPr="00096A22">
        <w:t xml:space="preserve"> were viewed as areas where </w:t>
      </w:r>
      <w:r w:rsidR="005F4B57" w:rsidRPr="00096A22">
        <w:t>researchers could make</w:t>
      </w:r>
      <w:r w:rsidR="006A5407" w:rsidRPr="00096A22">
        <w:t xml:space="preserve"> contributions</w:t>
      </w:r>
      <w:r w:rsidR="005F4B57" w:rsidRPr="00096A22">
        <w:t>.</w:t>
      </w:r>
    </w:p>
    <w:p w14:paraId="60F5D413" w14:textId="5927F42D" w:rsidR="005F4B57" w:rsidRPr="00096A22" w:rsidRDefault="005F4B57" w:rsidP="00D9661C">
      <w:r w:rsidRPr="00096A22">
        <w:t>Finally, participants engaged in a debate about whether SDG</w:t>
      </w:r>
      <w:r w:rsidR="00D82DD9">
        <w:t xml:space="preserve"> </w:t>
      </w:r>
      <w:r w:rsidRPr="00096A22">
        <w:t xml:space="preserve">17 was chiefly a Western perspective on the challenges of implementing the SDGs or whether it chiefly reflected a typical Southern perspective on </w:t>
      </w:r>
      <w:r w:rsidR="003B245B" w:rsidRPr="00096A22">
        <w:t>development. Participants did not agree, but the debate indicated the need for some deeper thinking on what the underlying assumptions of SDG 17 are in general and how these assumptions could impact on our capacity to advance the SDGs.</w:t>
      </w:r>
    </w:p>
    <w:p w14:paraId="51D5CFC4" w14:textId="2A2ED76A" w:rsidR="00667874" w:rsidRPr="00096A22" w:rsidRDefault="00B9410E" w:rsidP="00B9410E">
      <w:pPr>
        <w:pStyle w:val="Heading1"/>
      </w:pPr>
      <w:bookmarkStart w:id="43" w:name="_Toc529789850"/>
      <w:r w:rsidRPr="00096A22">
        <w:lastRenderedPageBreak/>
        <w:t>Conclu</w:t>
      </w:r>
      <w:r w:rsidR="00690BEC">
        <w:t>sions</w:t>
      </w:r>
      <w:bookmarkEnd w:id="43"/>
    </w:p>
    <w:p w14:paraId="12907D81" w14:textId="279C0A77" w:rsidR="00B72EB5" w:rsidRPr="00096A22" w:rsidRDefault="004B1B44" w:rsidP="004B1B44">
      <w:r w:rsidRPr="00096A22">
        <w:t xml:space="preserve">The aim of this report has been to identify a set of research avenues </w:t>
      </w:r>
      <w:r w:rsidR="00EB2884" w:rsidRPr="00096A22">
        <w:t xml:space="preserve">that could contribute to advancing SDG 17, which is focused on strengthening the means of implementing the full SDG agenda and deepening international cooperation. As such, the review has focused </w:t>
      </w:r>
      <w:r w:rsidR="00EB14D2" w:rsidRPr="00096A22">
        <w:t>to a large extent</w:t>
      </w:r>
      <w:r w:rsidR="00EB2884" w:rsidRPr="00096A22">
        <w:t xml:space="preserve"> on various governance</w:t>
      </w:r>
      <w:r w:rsidR="00D73CE6" w:rsidRPr="00096A22">
        <w:t>, economic and sociological</w:t>
      </w:r>
      <w:r w:rsidR="00EB2884" w:rsidRPr="00096A22">
        <w:t xml:space="preserve"> issues around four themes: </w:t>
      </w:r>
      <w:r w:rsidRPr="00096A22">
        <w:t>the quality of government including government revenue collection (</w:t>
      </w:r>
      <w:r w:rsidR="00EB2884" w:rsidRPr="00096A22">
        <w:t>17.1, 17.9, 16.3, 16.5</w:t>
      </w:r>
      <w:r w:rsidR="00CE60A2">
        <w:t xml:space="preserve"> and</w:t>
      </w:r>
      <w:r w:rsidR="00EB2884" w:rsidRPr="00096A22">
        <w:t xml:space="preserve"> 16.6),</w:t>
      </w:r>
      <w:r w:rsidRPr="00096A22">
        <w:t xml:space="preserve"> policy coherence</w:t>
      </w:r>
      <w:r w:rsidR="00E64F69" w:rsidRPr="00096A22">
        <w:t xml:space="preserve"> (17.13 </w:t>
      </w:r>
      <w:r w:rsidR="00CE60A2">
        <w:t>and</w:t>
      </w:r>
      <w:r w:rsidR="00E64F69" w:rsidRPr="00096A22">
        <w:t xml:space="preserve"> 17.14)</w:t>
      </w:r>
      <w:r w:rsidR="00EB14D2" w:rsidRPr="00096A22">
        <w:t>,</w:t>
      </w:r>
      <w:r w:rsidRPr="00096A22">
        <w:t xml:space="preserve"> access to technology</w:t>
      </w:r>
      <w:r w:rsidR="00EB2884" w:rsidRPr="00096A22">
        <w:t xml:space="preserve"> (17.6, 17.7, 9.5, 9.a</w:t>
      </w:r>
      <w:r w:rsidR="00CE60A2">
        <w:t xml:space="preserve"> and</w:t>
      </w:r>
      <w:r w:rsidR="00EB2884" w:rsidRPr="00096A22">
        <w:t xml:space="preserve"> 9.b),</w:t>
      </w:r>
      <w:r w:rsidRPr="00096A22">
        <w:t xml:space="preserve"> </w:t>
      </w:r>
      <w:r w:rsidR="00EB2884" w:rsidRPr="00096A22">
        <w:t>and</w:t>
      </w:r>
      <w:r w:rsidRPr="00096A22">
        <w:t xml:space="preserve"> multi-stakeholder partnerships</w:t>
      </w:r>
      <w:r w:rsidR="00E62C52" w:rsidRPr="00096A22">
        <w:t xml:space="preserve"> (17.3, 17.6, 17.9, 17.16</w:t>
      </w:r>
      <w:r w:rsidR="00A73DF3">
        <w:t xml:space="preserve"> an</w:t>
      </w:r>
      <w:r w:rsidR="00CE60A2">
        <w:t>d</w:t>
      </w:r>
      <w:r w:rsidR="00E62C52" w:rsidRPr="00096A22">
        <w:t xml:space="preserve"> 17.17)</w:t>
      </w:r>
      <w:r w:rsidR="00EB2884" w:rsidRPr="00096A22">
        <w:t>.</w:t>
      </w:r>
    </w:p>
    <w:p w14:paraId="4C2B7589" w14:textId="32547D94" w:rsidR="00667874" w:rsidRPr="00096A22" w:rsidRDefault="00D73CE6" w:rsidP="00667874">
      <w:r w:rsidRPr="00096A22">
        <w:t xml:space="preserve">Social science questions about how to bring about improved </w:t>
      </w:r>
      <w:r w:rsidR="00552E51" w:rsidRPr="00096A22">
        <w:t xml:space="preserve">and sustainable </w:t>
      </w:r>
      <w:r w:rsidRPr="00096A22">
        <w:t xml:space="preserve">human welfare are some of the most difficult </w:t>
      </w:r>
      <w:r w:rsidR="00CE60A2">
        <w:t>to address,</w:t>
      </w:r>
      <w:r w:rsidRPr="00096A22">
        <w:t xml:space="preserve"> due to the very high level</w:t>
      </w:r>
      <w:r w:rsidR="005E0D6E" w:rsidRPr="00096A22">
        <w:t>s</w:t>
      </w:r>
      <w:r w:rsidRPr="00096A22">
        <w:t xml:space="preserve"> of complexity </w:t>
      </w:r>
      <w:r w:rsidR="005E0D6E" w:rsidRPr="00096A22">
        <w:t>of the object</w:t>
      </w:r>
      <w:r w:rsidR="00552E51" w:rsidRPr="00096A22">
        <w:t>s</w:t>
      </w:r>
      <w:r w:rsidR="005E0D6E" w:rsidRPr="00096A22">
        <w:t xml:space="preserve"> of study and the methodological challenges of empirically </w:t>
      </w:r>
      <w:r w:rsidR="006947D5" w:rsidRPr="00096A22">
        <w:t>investigating</w:t>
      </w:r>
      <w:r w:rsidR="00095D67" w:rsidRPr="00096A22">
        <w:t xml:space="preserve"> human societies</w:t>
      </w:r>
      <w:r w:rsidRPr="00096A22">
        <w:t>.</w:t>
      </w:r>
      <w:r w:rsidR="005E0D6E" w:rsidRPr="00096A22">
        <w:t xml:space="preserve"> As a result, there </w:t>
      </w:r>
      <w:r w:rsidR="00CE60A2">
        <w:t>is</w:t>
      </w:r>
      <w:r w:rsidR="00CE60A2" w:rsidRPr="00096A22">
        <w:t xml:space="preserve"> </w:t>
      </w:r>
      <w:r w:rsidR="005E0D6E" w:rsidRPr="00096A22">
        <w:t xml:space="preserve">no shortage of compelling </w:t>
      </w:r>
      <w:r w:rsidRPr="00096A22">
        <w:t>research avenues identified</w:t>
      </w:r>
      <w:r w:rsidR="005E0D6E" w:rsidRPr="00096A22">
        <w:t xml:space="preserve"> in this report</w:t>
      </w:r>
      <w:r w:rsidR="00CE60A2">
        <w:t>. However,</w:t>
      </w:r>
      <w:r w:rsidR="005E0D6E" w:rsidRPr="00096A22">
        <w:t xml:space="preserve"> </w:t>
      </w:r>
      <w:r w:rsidRPr="00096A22">
        <w:t xml:space="preserve">we </w:t>
      </w:r>
      <w:r w:rsidR="005E0D6E" w:rsidRPr="00096A22">
        <w:t xml:space="preserve">have </w:t>
      </w:r>
      <w:r w:rsidRPr="00096A22">
        <w:t xml:space="preserve">only </w:t>
      </w:r>
      <w:r w:rsidR="005E0D6E" w:rsidRPr="00096A22">
        <w:t>be</w:t>
      </w:r>
      <w:r w:rsidR="00CE60A2">
        <w:t>en</w:t>
      </w:r>
      <w:r w:rsidR="005E0D6E" w:rsidRPr="00096A22">
        <w:t xml:space="preserve"> able to address </w:t>
      </w:r>
      <w:r w:rsidRPr="00096A22">
        <w:t xml:space="preserve">a portion of the topics encompassed by the 19 targets of SDG 17. </w:t>
      </w:r>
      <w:r w:rsidR="00F249B3" w:rsidRPr="00096A22">
        <w:t xml:space="preserve">The experts </w:t>
      </w:r>
      <w:r w:rsidR="0069350C" w:rsidRPr="00096A22">
        <w:t>who participated in the workshop for SDG 17 confirmed the importance of the four themes selected for this study</w:t>
      </w:r>
      <w:r w:rsidR="00CE60A2">
        <w:t>,</w:t>
      </w:r>
      <w:r w:rsidR="0069350C" w:rsidRPr="00096A22">
        <w:t xml:space="preserve"> but also identified other key research themes, such as how to foster learning </w:t>
      </w:r>
      <w:r w:rsidR="00B72EB5" w:rsidRPr="00096A22">
        <w:t>among various actors for SDG</w:t>
      </w:r>
      <w:r w:rsidR="0069350C" w:rsidRPr="00096A22">
        <w:t xml:space="preserve"> achievement.</w:t>
      </w:r>
      <w:r w:rsidR="00B72EB5" w:rsidRPr="00096A22">
        <w:t xml:space="preserve"> </w:t>
      </w:r>
      <w:r w:rsidR="003C06B8" w:rsidRPr="003C06B8">
        <w:t>Overall, this review demonstrates that investment in research on the determinants of sustainable development and in research on strategies for implementing this knowledge on the ground have a high potential to advance the SDG agenda.</w:t>
      </w:r>
      <w:r w:rsidR="003C06B8">
        <w:rPr>
          <w:rStyle w:val="CommentReference"/>
        </w:rPr>
        <w:t xml:space="preserve"> </w:t>
      </w:r>
    </w:p>
    <w:p w14:paraId="3A48E109" w14:textId="77777777" w:rsidR="00C35549" w:rsidRPr="00096A22" w:rsidRDefault="00B9410E" w:rsidP="00B9410E">
      <w:pPr>
        <w:pStyle w:val="Heading1"/>
        <w:numPr>
          <w:ilvl w:val="0"/>
          <w:numId w:val="0"/>
        </w:numPr>
        <w:ind w:left="432" w:hanging="432"/>
      </w:pPr>
      <w:bookmarkStart w:id="44" w:name="_Toc529789851"/>
      <w:r w:rsidRPr="00096A22">
        <w:t>References</w:t>
      </w:r>
      <w:bookmarkEnd w:id="44"/>
    </w:p>
    <w:p w14:paraId="18EDEF10" w14:textId="6E625328" w:rsidR="004A7123" w:rsidRPr="007344DD" w:rsidRDefault="00C87A9C" w:rsidP="007344DD">
      <w:pPr>
        <w:rPr>
          <w:sz w:val="24"/>
          <w:szCs w:val="24"/>
        </w:rPr>
      </w:pPr>
      <w:r w:rsidRPr="00AA38F3">
        <w:fldChar w:fldCharType="begin"/>
      </w:r>
      <w:r w:rsidR="004A7123" w:rsidRPr="006211E6">
        <w:instrText xml:space="preserve"> ADDIN ZOTERO_BIBL {"uncited":[],"omitted":[],"custom":[]} CSL_BIBLIOGRAPHY </w:instrText>
      </w:r>
      <w:r w:rsidRPr="00AA38F3">
        <w:fldChar w:fldCharType="separate"/>
      </w:r>
      <w:r w:rsidR="004A7123" w:rsidRPr="007344DD">
        <w:rPr>
          <w:sz w:val="24"/>
          <w:szCs w:val="24"/>
        </w:rPr>
        <w:t xml:space="preserve">Abdel-Latif, A. (2015). Intellectual property rights and the transfer of climate change technologies: issues, challenges, and way forward. </w:t>
      </w:r>
      <w:r w:rsidR="004A7123" w:rsidRPr="007344DD">
        <w:rPr>
          <w:i/>
          <w:iCs/>
          <w:sz w:val="24"/>
          <w:szCs w:val="24"/>
        </w:rPr>
        <w:t>Climate Policy</w:t>
      </w:r>
      <w:r w:rsidR="004A7123" w:rsidRPr="007344DD">
        <w:rPr>
          <w:sz w:val="24"/>
          <w:szCs w:val="24"/>
        </w:rPr>
        <w:t>, 15(1). 103–26. DOI:10.1080/14693062.2014.951919.</w:t>
      </w:r>
    </w:p>
    <w:p w14:paraId="7AF8F5A7" w14:textId="77777777" w:rsidR="004A7123" w:rsidRPr="007344DD" w:rsidRDefault="004A7123" w:rsidP="007344DD">
      <w:pPr>
        <w:rPr>
          <w:sz w:val="24"/>
          <w:szCs w:val="24"/>
        </w:rPr>
      </w:pPr>
      <w:r w:rsidRPr="007344DD">
        <w:rPr>
          <w:sz w:val="24"/>
          <w:szCs w:val="24"/>
        </w:rPr>
        <w:t xml:space="preserve">Acemoglu, D. and Robinson, J. A. (2013). </w:t>
      </w:r>
      <w:r w:rsidRPr="007344DD">
        <w:rPr>
          <w:i/>
          <w:iCs/>
          <w:sz w:val="24"/>
          <w:szCs w:val="24"/>
        </w:rPr>
        <w:t>Why Nations Fail: The Origins of Power, Prosperity, and Poverty</w:t>
      </w:r>
      <w:r w:rsidRPr="007344DD">
        <w:rPr>
          <w:sz w:val="24"/>
          <w:szCs w:val="24"/>
        </w:rPr>
        <w:t>. Broadway Business.</w:t>
      </w:r>
    </w:p>
    <w:p w14:paraId="3BF4F464" w14:textId="77777777" w:rsidR="004A7123" w:rsidRPr="007344DD" w:rsidRDefault="004A7123" w:rsidP="007344DD">
      <w:pPr>
        <w:rPr>
          <w:sz w:val="24"/>
          <w:szCs w:val="24"/>
        </w:rPr>
      </w:pPr>
      <w:r w:rsidRPr="007344DD">
        <w:rPr>
          <w:sz w:val="24"/>
          <w:szCs w:val="24"/>
        </w:rPr>
        <w:t>Addison, T., Niño</w:t>
      </w:r>
      <w:r w:rsidRPr="007344DD">
        <w:rPr>
          <w:rFonts w:hint="eastAsia"/>
          <w:sz w:val="24"/>
          <w:szCs w:val="24"/>
        </w:rPr>
        <w:t>‐</w:t>
      </w:r>
      <w:r w:rsidRPr="007344DD">
        <w:rPr>
          <w:sz w:val="24"/>
          <w:szCs w:val="24"/>
        </w:rPr>
        <w:t xml:space="preserve">Zarazúa, M. and Pirttila, J. (2018). </w:t>
      </w:r>
      <w:r w:rsidRPr="007344DD">
        <w:rPr>
          <w:i/>
          <w:iCs/>
          <w:sz w:val="24"/>
          <w:szCs w:val="24"/>
        </w:rPr>
        <w:t>Fiscal Policy, State Building and Economic Development</w:t>
      </w:r>
      <w:r w:rsidRPr="007344DD">
        <w:rPr>
          <w:sz w:val="24"/>
          <w:szCs w:val="24"/>
        </w:rPr>
        <w:t>. ID 3107165. Social Science Research Network, Rochester, NY. https://papers.ssrn.com/abstract=3107165.</w:t>
      </w:r>
    </w:p>
    <w:p w14:paraId="3F506962" w14:textId="77777777" w:rsidR="004A7123" w:rsidRPr="007344DD" w:rsidRDefault="004A7123" w:rsidP="007344DD">
      <w:pPr>
        <w:rPr>
          <w:sz w:val="24"/>
          <w:szCs w:val="24"/>
        </w:rPr>
      </w:pPr>
      <w:r w:rsidRPr="007344DD">
        <w:rPr>
          <w:sz w:val="24"/>
          <w:szCs w:val="24"/>
        </w:rPr>
        <w:t xml:space="preserve">Adenle, A. A., Manning, D. T. and Arbiol, J. (2017). Mitigating Climate Change in Africa: Barriers to Financing Low-Carbon Development. </w:t>
      </w:r>
      <w:r w:rsidRPr="007344DD">
        <w:rPr>
          <w:i/>
          <w:iCs/>
          <w:sz w:val="24"/>
          <w:szCs w:val="24"/>
        </w:rPr>
        <w:t>World Development</w:t>
      </w:r>
      <w:r w:rsidRPr="007344DD">
        <w:rPr>
          <w:sz w:val="24"/>
          <w:szCs w:val="24"/>
        </w:rPr>
        <w:t>, 100. 123–132.</w:t>
      </w:r>
    </w:p>
    <w:p w14:paraId="0AE7B244" w14:textId="77777777" w:rsidR="004A7123" w:rsidRPr="007344DD" w:rsidRDefault="004A7123" w:rsidP="007344DD">
      <w:pPr>
        <w:rPr>
          <w:sz w:val="24"/>
          <w:szCs w:val="24"/>
        </w:rPr>
      </w:pPr>
      <w:r w:rsidRPr="007344DD">
        <w:rPr>
          <w:sz w:val="24"/>
          <w:szCs w:val="24"/>
        </w:rPr>
        <w:t xml:space="preserve">Aidt, T. S. (2009). Corruption, institutions, and economic development. </w:t>
      </w:r>
      <w:r w:rsidRPr="007344DD">
        <w:rPr>
          <w:i/>
          <w:iCs/>
          <w:sz w:val="24"/>
          <w:szCs w:val="24"/>
        </w:rPr>
        <w:t>Oxford Review of Economic Policy</w:t>
      </w:r>
      <w:r w:rsidRPr="007344DD">
        <w:rPr>
          <w:sz w:val="24"/>
          <w:szCs w:val="24"/>
        </w:rPr>
        <w:t>, 25(2). 271–91. DOI:10.1093/oxrep/grp012.</w:t>
      </w:r>
    </w:p>
    <w:p w14:paraId="75AE9020" w14:textId="77777777" w:rsidR="004A7123" w:rsidRPr="007344DD" w:rsidRDefault="004A7123" w:rsidP="007344DD">
      <w:pPr>
        <w:rPr>
          <w:sz w:val="24"/>
          <w:szCs w:val="24"/>
        </w:rPr>
      </w:pPr>
      <w:r w:rsidRPr="007344DD">
        <w:rPr>
          <w:sz w:val="24"/>
          <w:szCs w:val="24"/>
        </w:rPr>
        <w:t xml:space="preserve">Andersen, J. J. and Ross, M. L. (2014). The Big Oil Change: A Closer Look at the Haber–Menaldo Analysis. </w:t>
      </w:r>
      <w:r w:rsidRPr="007344DD">
        <w:rPr>
          <w:i/>
          <w:iCs/>
          <w:sz w:val="24"/>
          <w:szCs w:val="24"/>
        </w:rPr>
        <w:t>Comparative Political Studies</w:t>
      </w:r>
      <w:r w:rsidRPr="007344DD">
        <w:rPr>
          <w:sz w:val="24"/>
          <w:szCs w:val="24"/>
        </w:rPr>
        <w:t>, 47(7). 993–1021. DOI:10.1177/0010414013488557.</w:t>
      </w:r>
    </w:p>
    <w:p w14:paraId="44DC0905" w14:textId="77777777" w:rsidR="004A7123" w:rsidRPr="007344DD" w:rsidRDefault="004A7123" w:rsidP="007344DD">
      <w:pPr>
        <w:rPr>
          <w:sz w:val="24"/>
          <w:szCs w:val="24"/>
        </w:rPr>
      </w:pPr>
      <w:r w:rsidRPr="007344DD">
        <w:rPr>
          <w:sz w:val="24"/>
          <w:szCs w:val="24"/>
        </w:rPr>
        <w:lastRenderedPageBreak/>
        <w:t xml:space="preserve">Anon (n.d.). Policy coherence and the 2030 Agenda: Building on the PCD experience. </w:t>
      </w:r>
      <w:r w:rsidRPr="007344DD">
        <w:rPr>
          <w:i/>
          <w:iCs/>
          <w:sz w:val="24"/>
          <w:szCs w:val="24"/>
        </w:rPr>
        <w:t>ECDPM</w:t>
      </w:r>
      <w:r w:rsidRPr="007344DD">
        <w:rPr>
          <w:sz w:val="24"/>
          <w:szCs w:val="24"/>
        </w:rPr>
        <w:t>. http://ecdpm.org/publications/policy-coherence-2030-agenda/. [Accessed 22 May, 2018.]</w:t>
      </w:r>
    </w:p>
    <w:p w14:paraId="4852E626" w14:textId="77777777" w:rsidR="004A7123" w:rsidRPr="007344DD" w:rsidRDefault="004A7123" w:rsidP="007344DD">
      <w:pPr>
        <w:rPr>
          <w:sz w:val="24"/>
          <w:szCs w:val="24"/>
        </w:rPr>
      </w:pPr>
      <w:r w:rsidRPr="007344DD">
        <w:rPr>
          <w:sz w:val="24"/>
          <w:szCs w:val="24"/>
        </w:rPr>
        <w:t xml:space="preserve">Aslaksen, S. (2010). Oil and democracy: More than a cross-country correlation? </w:t>
      </w:r>
      <w:r w:rsidRPr="007344DD">
        <w:rPr>
          <w:i/>
          <w:iCs/>
          <w:sz w:val="24"/>
          <w:szCs w:val="24"/>
        </w:rPr>
        <w:t>Journal of Peace Research</w:t>
      </w:r>
      <w:r w:rsidRPr="007344DD">
        <w:rPr>
          <w:sz w:val="24"/>
          <w:szCs w:val="24"/>
        </w:rPr>
        <w:t>, 47(4). 421–31. DOI:10.1177/0022343310368348.</w:t>
      </w:r>
    </w:p>
    <w:p w14:paraId="2F5417C6" w14:textId="77777777" w:rsidR="004A7123" w:rsidRPr="007344DD" w:rsidRDefault="004A7123" w:rsidP="007344DD">
      <w:pPr>
        <w:rPr>
          <w:sz w:val="24"/>
          <w:szCs w:val="24"/>
        </w:rPr>
      </w:pPr>
      <w:r w:rsidRPr="007344DD">
        <w:rPr>
          <w:sz w:val="24"/>
          <w:szCs w:val="24"/>
        </w:rPr>
        <w:t xml:space="preserve">Asongu, S. (2015). On Taxation, Political Accountability and Foreign Aid: Empirics to a Celebrated Literature. </w:t>
      </w:r>
      <w:r w:rsidRPr="007344DD">
        <w:rPr>
          <w:i/>
          <w:iCs/>
          <w:sz w:val="24"/>
          <w:szCs w:val="24"/>
        </w:rPr>
        <w:t>South African Journal of Economics</w:t>
      </w:r>
      <w:r w:rsidRPr="007344DD">
        <w:rPr>
          <w:sz w:val="24"/>
          <w:szCs w:val="24"/>
        </w:rPr>
        <w:t>, 83(2). 180–98. DOI:10.1111/saje.12064.</w:t>
      </w:r>
    </w:p>
    <w:p w14:paraId="4820C3D9" w14:textId="77777777" w:rsidR="004A7123" w:rsidRPr="007344DD" w:rsidRDefault="004A7123" w:rsidP="007344DD">
      <w:pPr>
        <w:rPr>
          <w:sz w:val="24"/>
          <w:szCs w:val="24"/>
        </w:rPr>
      </w:pPr>
      <w:r w:rsidRPr="007344DD">
        <w:rPr>
          <w:sz w:val="24"/>
          <w:szCs w:val="24"/>
        </w:rPr>
        <w:t xml:space="preserve">Atteridge, A., Canales, N. and Savvidou, G. (2017). </w:t>
      </w:r>
      <w:r w:rsidRPr="007344DD">
        <w:rPr>
          <w:i/>
          <w:iCs/>
          <w:sz w:val="24"/>
          <w:szCs w:val="24"/>
        </w:rPr>
        <w:t>Climate Finance in the Caribbean Region’s Small Island Developing States</w:t>
      </w:r>
      <w:r w:rsidRPr="007344DD">
        <w:rPr>
          <w:sz w:val="24"/>
          <w:szCs w:val="24"/>
        </w:rPr>
        <w:t>. 2017-08. Stockholm Environment Institute.</w:t>
      </w:r>
    </w:p>
    <w:p w14:paraId="2C062929" w14:textId="77777777" w:rsidR="004A7123" w:rsidRPr="007344DD" w:rsidRDefault="004A7123" w:rsidP="007344DD">
      <w:pPr>
        <w:rPr>
          <w:sz w:val="24"/>
          <w:szCs w:val="24"/>
        </w:rPr>
      </w:pPr>
      <w:r w:rsidRPr="007344DD">
        <w:rPr>
          <w:sz w:val="24"/>
          <w:szCs w:val="24"/>
        </w:rPr>
        <w:t xml:space="preserve">Baskaran, T. and Bigsten, A. (2013). Fiscal Capacity and the Quality of Government in Sub-Saharan Africa. </w:t>
      </w:r>
      <w:r w:rsidRPr="007344DD">
        <w:rPr>
          <w:i/>
          <w:iCs/>
          <w:sz w:val="24"/>
          <w:szCs w:val="24"/>
        </w:rPr>
        <w:t>World Development</w:t>
      </w:r>
      <w:r w:rsidRPr="007344DD">
        <w:rPr>
          <w:sz w:val="24"/>
          <w:szCs w:val="24"/>
        </w:rPr>
        <w:t>, 45(Supplement C). 92–107. DOI:10.1016/j.worlddev.2012.09.018.</w:t>
      </w:r>
    </w:p>
    <w:p w14:paraId="0365CEC2" w14:textId="77777777" w:rsidR="004A7123" w:rsidRPr="007344DD" w:rsidRDefault="004A7123" w:rsidP="007344DD">
      <w:pPr>
        <w:rPr>
          <w:sz w:val="24"/>
          <w:szCs w:val="24"/>
        </w:rPr>
      </w:pPr>
      <w:r w:rsidRPr="007344DD">
        <w:rPr>
          <w:sz w:val="24"/>
          <w:szCs w:val="24"/>
        </w:rPr>
        <w:t xml:space="preserve">Bayram, A. B. (2017). Aiding Strangers: Generalized Trust and the Moral Basis of Public Support for Foreign Development Aid. </w:t>
      </w:r>
      <w:r w:rsidRPr="007344DD">
        <w:rPr>
          <w:i/>
          <w:iCs/>
          <w:sz w:val="24"/>
          <w:szCs w:val="24"/>
        </w:rPr>
        <w:t>Foreign Policy Analysis</w:t>
      </w:r>
      <w:r w:rsidRPr="007344DD">
        <w:rPr>
          <w:sz w:val="24"/>
          <w:szCs w:val="24"/>
        </w:rPr>
        <w:t>, 13(1). 133–53. DOI:10.1093/fpa/orw008.</w:t>
      </w:r>
    </w:p>
    <w:p w14:paraId="73B9992D" w14:textId="77777777" w:rsidR="004A7123" w:rsidRPr="007344DD" w:rsidRDefault="004A7123" w:rsidP="007344DD">
      <w:pPr>
        <w:rPr>
          <w:sz w:val="24"/>
          <w:szCs w:val="24"/>
        </w:rPr>
      </w:pPr>
      <w:r w:rsidRPr="007344DD">
        <w:rPr>
          <w:sz w:val="24"/>
          <w:szCs w:val="24"/>
        </w:rPr>
        <w:t xml:space="preserve">Benedek, D., Crivelli, E., Gupta, S. and Muthoora, P. (2014). Foreign aid and revenue: Still a crowding-out effect? </w:t>
      </w:r>
      <w:r w:rsidRPr="007344DD">
        <w:rPr>
          <w:i/>
          <w:iCs/>
          <w:sz w:val="24"/>
          <w:szCs w:val="24"/>
        </w:rPr>
        <w:t>FinanzArchiv: Public Finance Analysis</w:t>
      </w:r>
      <w:r w:rsidRPr="007344DD">
        <w:rPr>
          <w:sz w:val="24"/>
          <w:szCs w:val="24"/>
        </w:rPr>
        <w:t>, 70(1). 67–96.</w:t>
      </w:r>
    </w:p>
    <w:p w14:paraId="32365619" w14:textId="77777777" w:rsidR="004A7123" w:rsidRPr="007344DD" w:rsidRDefault="004A7123" w:rsidP="007344DD">
      <w:pPr>
        <w:rPr>
          <w:sz w:val="24"/>
          <w:szCs w:val="24"/>
        </w:rPr>
      </w:pPr>
      <w:r w:rsidRPr="007344DD">
        <w:rPr>
          <w:sz w:val="24"/>
          <w:szCs w:val="24"/>
        </w:rPr>
        <w:t xml:space="preserve">Bentzen, J. S. (2012). How bad is corruption? Cross-country evidence of the impact of corruption on economic prosperity. </w:t>
      </w:r>
      <w:r w:rsidRPr="007344DD">
        <w:rPr>
          <w:i/>
          <w:iCs/>
          <w:sz w:val="24"/>
          <w:szCs w:val="24"/>
        </w:rPr>
        <w:t>Review of Development Economics</w:t>
      </w:r>
      <w:r w:rsidRPr="007344DD">
        <w:rPr>
          <w:sz w:val="24"/>
          <w:szCs w:val="24"/>
        </w:rPr>
        <w:t>, 16(1). 167–184.</w:t>
      </w:r>
    </w:p>
    <w:p w14:paraId="6991D592" w14:textId="77777777" w:rsidR="004A7123" w:rsidRPr="007344DD" w:rsidRDefault="004A7123" w:rsidP="007344DD">
      <w:pPr>
        <w:rPr>
          <w:sz w:val="24"/>
          <w:szCs w:val="24"/>
        </w:rPr>
      </w:pPr>
      <w:r w:rsidRPr="007344DD">
        <w:rPr>
          <w:sz w:val="24"/>
          <w:szCs w:val="24"/>
        </w:rPr>
        <w:t xml:space="preserve">Berliner, D., Greenleaf, A., Lake, M. and Noveck, J. (2015). Building Capacity, Building Rights? State Capacity and Labor Rights in Developing Countries. </w:t>
      </w:r>
      <w:r w:rsidRPr="007344DD">
        <w:rPr>
          <w:i/>
          <w:iCs/>
          <w:sz w:val="24"/>
          <w:szCs w:val="24"/>
        </w:rPr>
        <w:t>World Development</w:t>
      </w:r>
      <w:r w:rsidRPr="007344DD">
        <w:rPr>
          <w:sz w:val="24"/>
          <w:szCs w:val="24"/>
        </w:rPr>
        <w:t>, 72(Supplement C). 127–39. DOI:10.1016/j.worlddev.2015.02.018.</w:t>
      </w:r>
    </w:p>
    <w:p w14:paraId="1ABB2FBD" w14:textId="77777777" w:rsidR="004A7123" w:rsidRPr="007344DD" w:rsidRDefault="004A7123" w:rsidP="007344DD">
      <w:pPr>
        <w:rPr>
          <w:sz w:val="24"/>
          <w:szCs w:val="24"/>
        </w:rPr>
      </w:pPr>
      <w:r w:rsidRPr="007344DD">
        <w:rPr>
          <w:sz w:val="24"/>
          <w:szCs w:val="24"/>
        </w:rPr>
        <w:t xml:space="preserve">Bhattacharyya, S. and Hodler, R. (2014). Do Natural Resource Revenues Hinder Financial Development? The Role of Political Institutions. </w:t>
      </w:r>
      <w:r w:rsidRPr="007344DD">
        <w:rPr>
          <w:i/>
          <w:iCs/>
          <w:sz w:val="24"/>
          <w:szCs w:val="24"/>
        </w:rPr>
        <w:t>World Development</w:t>
      </w:r>
      <w:r w:rsidRPr="007344DD">
        <w:rPr>
          <w:sz w:val="24"/>
          <w:szCs w:val="24"/>
        </w:rPr>
        <w:t>, 57. 101–13. DOI:10.1016/j.worlddev.2013.12.003.</w:t>
      </w:r>
    </w:p>
    <w:p w14:paraId="1A231624" w14:textId="77777777" w:rsidR="004A7123" w:rsidRPr="007344DD" w:rsidRDefault="004A7123" w:rsidP="007344DD">
      <w:pPr>
        <w:rPr>
          <w:sz w:val="24"/>
          <w:szCs w:val="24"/>
        </w:rPr>
      </w:pPr>
      <w:r w:rsidRPr="007344DD">
        <w:rPr>
          <w:sz w:val="24"/>
          <w:szCs w:val="24"/>
        </w:rPr>
        <w:t xml:space="preserve">Bielenberg, A., Kerlin, M., Oppenheim, J. and Roberts, M. (2016). </w:t>
      </w:r>
      <w:r w:rsidRPr="007344DD">
        <w:rPr>
          <w:i/>
          <w:iCs/>
          <w:sz w:val="24"/>
          <w:szCs w:val="24"/>
        </w:rPr>
        <w:t>Financing Change: How to Mobilize Private-Sector Financing for Sustainable Infrastructure, McKinsey Center for Business and Environment, McKinsey &amp; Company, January 2016.</w:t>
      </w:r>
      <w:r w:rsidRPr="007344DD">
        <w:rPr>
          <w:sz w:val="24"/>
          <w:szCs w:val="24"/>
        </w:rPr>
        <w:t xml:space="preserve"> McKinsey Center for Business and Environment. http://newclimateeconomy.report/2015/wp-content/uploads/sites/3/2016/01/Financing_change_How_to_mobilize_private-sector_financing_for_sustainable-_infrastructure.pdf.</w:t>
      </w:r>
    </w:p>
    <w:p w14:paraId="4F152A8F" w14:textId="77777777" w:rsidR="004A7123" w:rsidRPr="007344DD" w:rsidRDefault="004A7123" w:rsidP="007344DD">
      <w:pPr>
        <w:rPr>
          <w:sz w:val="24"/>
          <w:szCs w:val="24"/>
        </w:rPr>
      </w:pPr>
      <w:r w:rsidRPr="007344DD">
        <w:rPr>
          <w:sz w:val="24"/>
          <w:szCs w:val="24"/>
        </w:rPr>
        <w:lastRenderedPageBreak/>
        <w:t xml:space="preserve">Biermann, F., Man-san Chan, A. M. and Pattberg, P. (2007). Multi-stakeholder partnerships for sustainable development: does the promise hold? </w:t>
      </w:r>
      <w:r w:rsidR="00775435" w:rsidRPr="007344DD">
        <w:rPr>
          <w:sz w:val="24"/>
          <w:szCs w:val="24"/>
        </w:rPr>
        <w:t>Department of Environmental Policy Analysis, Institute for Environmental Studies</w:t>
      </w:r>
      <w:r w:rsidR="00775435" w:rsidRPr="007344DD">
        <w:rPr>
          <w:i/>
          <w:iCs/>
          <w:sz w:val="24"/>
          <w:szCs w:val="24"/>
        </w:rPr>
        <w:t>.</w:t>
      </w:r>
      <w:r w:rsidR="00775435" w:rsidRPr="007344DD">
        <w:rPr>
          <w:sz w:val="24"/>
          <w:szCs w:val="24"/>
        </w:rPr>
        <w:t xml:space="preserve"> Vrije Universiteit, Amsterdam.</w:t>
      </w:r>
    </w:p>
    <w:p w14:paraId="7A0E94B9" w14:textId="77777777" w:rsidR="004A7123" w:rsidRPr="007344DD" w:rsidRDefault="004A7123" w:rsidP="007344DD">
      <w:pPr>
        <w:rPr>
          <w:sz w:val="24"/>
          <w:szCs w:val="24"/>
        </w:rPr>
      </w:pPr>
      <w:r w:rsidRPr="007344DD">
        <w:rPr>
          <w:sz w:val="24"/>
          <w:szCs w:val="24"/>
        </w:rPr>
        <w:t xml:space="preserve">Blohmke, J. (2014). Technology complexity, technology transfer mechanisms and sustainable development. </w:t>
      </w:r>
      <w:r w:rsidRPr="007344DD">
        <w:rPr>
          <w:i/>
          <w:iCs/>
          <w:sz w:val="24"/>
          <w:szCs w:val="24"/>
        </w:rPr>
        <w:t>Energy for Sustainable Development</w:t>
      </w:r>
      <w:r w:rsidRPr="007344DD">
        <w:rPr>
          <w:sz w:val="24"/>
          <w:szCs w:val="24"/>
        </w:rPr>
        <w:t>, 23. 237–246.</w:t>
      </w:r>
    </w:p>
    <w:p w14:paraId="1C6C892D" w14:textId="77777777" w:rsidR="004A7123" w:rsidRPr="007344DD" w:rsidRDefault="004A7123" w:rsidP="007344DD">
      <w:pPr>
        <w:rPr>
          <w:sz w:val="24"/>
          <w:szCs w:val="24"/>
        </w:rPr>
      </w:pPr>
      <w:r w:rsidRPr="007344DD">
        <w:rPr>
          <w:sz w:val="24"/>
          <w:szCs w:val="24"/>
        </w:rPr>
        <w:t xml:space="preserve">Bräutigam, D. A. and Knack, S. (2004). Foreign aid, institutions, and governance in sub-Saharan Africa. </w:t>
      </w:r>
      <w:r w:rsidRPr="007344DD">
        <w:rPr>
          <w:i/>
          <w:iCs/>
          <w:sz w:val="24"/>
          <w:szCs w:val="24"/>
        </w:rPr>
        <w:t>Economic development and cultural change</w:t>
      </w:r>
      <w:r w:rsidRPr="007344DD">
        <w:rPr>
          <w:sz w:val="24"/>
          <w:szCs w:val="24"/>
        </w:rPr>
        <w:t>, 52(2). 255–285.</w:t>
      </w:r>
    </w:p>
    <w:p w14:paraId="0AD74284" w14:textId="77777777" w:rsidR="004A7123" w:rsidRPr="007344DD" w:rsidRDefault="004A7123" w:rsidP="007344DD">
      <w:pPr>
        <w:rPr>
          <w:sz w:val="24"/>
          <w:szCs w:val="24"/>
        </w:rPr>
      </w:pPr>
      <w:r w:rsidRPr="007344DD">
        <w:rPr>
          <w:sz w:val="24"/>
          <w:szCs w:val="24"/>
        </w:rPr>
        <w:t>Brun, J.-F., Chambas, G. and Guerineau, S. (2011). Aide et mobilisation fiscale dans les pays en développement.</w:t>
      </w:r>
    </w:p>
    <w:p w14:paraId="7F1F7A25" w14:textId="3958927C" w:rsidR="004A7123" w:rsidRDefault="004A7123" w:rsidP="007344DD">
      <w:pPr>
        <w:rPr>
          <w:sz w:val="24"/>
          <w:szCs w:val="24"/>
        </w:rPr>
      </w:pPr>
      <w:r w:rsidRPr="007344DD">
        <w:rPr>
          <w:sz w:val="24"/>
          <w:szCs w:val="24"/>
        </w:rPr>
        <w:t xml:space="preserve">Business and Sustainable Development Commission (2017). </w:t>
      </w:r>
      <w:r w:rsidRPr="007344DD">
        <w:rPr>
          <w:i/>
          <w:iCs/>
          <w:sz w:val="24"/>
          <w:szCs w:val="24"/>
        </w:rPr>
        <w:t>Better Business Better World</w:t>
      </w:r>
      <w:r w:rsidRPr="007344DD">
        <w:rPr>
          <w:sz w:val="24"/>
          <w:szCs w:val="24"/>
        </w:rPr>
        <w:t>. http://report.businesscommission.org/uploads/BetterBiz-BetterWorld_170215_012417.pdf.</w:t>
      </w:r>
    </w:p>
    <w:p w14:paraId="15F86BED" w14:textId="21F27F06" w:rsidR="00932E22" w:rsidRPr="00D526BA" w:rsidRDefault="00932E22" w:rsidP="007344DD">
      <w:pPr>
        <w:rPr>
          <w:sz w:val="24"/>
          <w:szCs w:val="24"/>
          <w:lang w:val="en-US"/>
        </w:rPr>
      </w:pPr>
      <w:r w:rsidRPr="00932E22">
        <w:rPr>
          <w:sz w:val="24"/>
          <w:szCs w:val="24"/>
          <w:lang w:val="en-US"/>
        </w:rPr>
        <w:t xml:space="preserve">Bäckstrand, K., Campe, S., Chan, S., Mert, A., and Schäferhoff, M. (2012). Transnational public–private partnerships. In F. Biermann &amp; P. Pattberg (Eds.), </w:t>
      </w:r>
      <w:r w:rsidRPr="00932E22">
        <w:rPr>
          <w:i/>
          <w:sz w:val="24"/>
          <w:szCs w:val="24"/>
          <w:lang w:val="en-US"/>
        </w:rPr>
        <w:t>Global environmental governance reconsidered</w:t>
      </w:r>
      <w:r w:rsidRPr="00932E22">
        <w:rPr>
          <w:sz w:val="24"/>
          <w:szCs w:val="24"/>
          <w:lang w:val="en-US"/>
        </w:rPr>
        <w:t xml:space="preserve">. </w:t>
      </w:r>
      <w:r w:rsidRPr="00D526BA">
        <w:rPr>
          <w:sz w:val="24"/>
          <w:szCs w:val="24"/>
          <w:lang w:val="en-US"/>
        </w:rPr>
        <w:t>Boston: MIT Press. 123–148.</w:t>
      </w:r>
    </w:p>
    <w:p w14:paraId="759DE67B" w14:textId="77777777" w:rsidR="004A7123" w:rsidRPr="007344DD" w:rsidRDefault="004A7123" w:rsidP="007344DD">
      <w:pPr>
        <w:rPr>
          <w:sz w:val="24"/>
          <w:szCs w:val="24"/>
        </w:rPr>
      </w:pPr>
      <w:r w:rsidRPr="007344DD">
        <w:rPr>
          <w:sz w:val="24"/>
          <w:szCs w:val="24"/>
        </w:rPr>
        <w:t xml:space="preserve">Chan, S., Asselt, H., Hale, T., Abbott, K. W., Beisheim, M., et al. (2015). Reinvigorating International Climate Policy: A Comprehensive Framework for Effective Nonstate Action. </w:t>
      </w:r>
      <w:r w:rsidRPr="007344DD">
        <w:rPr>
          <w:i/>
          <w:iCs/>
          <w:sz w:val="24"/>
          <w:szCs w:val="24"/>
        </w:rPr>
        <w:t>Global Policy</w:t>
      </w:r>
      <w:r w:rsidRPr="007344DD">
        <w:rPr>
          <w:sz w:val="24"/>
          <w:szCs w:val="24"/>
        </w:rPr>
        <w:t>, 6(4). 466–73. DOI:10.1111/1758-5899.12294.</w:t>
      </w:r>
    </w:p>
    <w:p w14:paraId="45A0056D" w14:textId="77777777" w:rsidR="004A7123" w:rsidRPr="007344DD" w:rsidRDefault="004A7123" w:rsidP="007344DD">
      <w:pPr>
        <w:rPr>
          <w:sz w:val="24"/>
          <w:szCs w:val="24"/>
        </w:rPr>
      </w:pPr>
      <w:r w:rsidRPr="007344DD">
        <w:rPr>
          <w:sz w:val="24"/>
          <w:szCs w:val="24"/>
        </w:rPr>
        <w:t xml:space="preserve">Chan, S., Falkner, R., Goldberg, M. and Asselt, H. van (2018). Effective and geographically balanced? An output-based assessment of non-state climate actions. </w:t>
      </w:r>
      <w:r w:rsidRPr="007344DD">
        <w:rPr>
          <w:i/>
          <w:iCs/>
          <w:sz w:val="24"/>
          <w:szCs w:val="24"/>
        </w:rPr>
        <w:t>Climate Policy</w:t>
      </w:r>
      <w:r w:rsidRPr="007344DD">
        <w:rPr>
          <w:sz w:val="24"/>
          <w:szCs w:val="24"/>
        </w:rPr>
        <w:t>, 18(1). 24–35. DOI:10.1080/14693062.2016.1248343.</w:t>
      </w:r>
    </w:p>
    <w:p w14:paraId="26FD1378" w14:textId="77777777" w:rsidR="004A7123" w:rsidRPr="007344DD" w:rsidRDefault="004A7123" w:rsidP="007344DD">
      <w:pPr>
        <w:rPr>
          <w:sz w:val="24"/>
          <w:szCs w:val="24"/>
        </w:rPr>
      </w:pPr>
      <w:r w:rsidRPr="007344DD">
        <w:rPr>
          <w:sz w:val="24"/>
          <w:szCs w:val="24"/>
        </w:rPr>
        <w:t xml:space="preserve">Charron, N., Dijkstra, L. and Lapuente, V. (2014). Regional Governance Matters: Quality of Government within European Union Member States. </w:t>
      </w:r>
      <w:r w:rsidRPr="007344DD">
        <w:rPr>
          <w:i/>
          <w:iCs/>
          <w:sz w:val="24"/>
          <w:szCs w:val="24"/>
        </w:rPr>
        <w:t>Regional Studies</w:t>
      </w:r>
      <w:r w:rsidRPr="007344DD">
        <w:rPr>
          <w:sz w:val="24"/>
          <w:szCs w:val="24"/>
        </w:rPr>
        <w:t>, 48(1). 68–90. DOI:10.1080/00343404.2013.770141.</w:t>
      </w:r>
    </w:p>
    <w:p w14:paraId="55E0B982" w14:textId="77777777" w:rsidR="004A7123" w:rsidRPr="007344DD" w:rsidRDefault="004A7123" w:rsidP="007344DD">
      <w:pPr>
        <w:rPr>
          <w:sz w:val="24"/>
          <w:szCs w:val="24"/>
        </w:rPr>
      </w:pPr>
      <w:r w:rsidRPr="007344DD">
        <w:rPr>
          <w:sz w:val="24"/>
          <w:szCs w:val="24"/>
        </w:rPr>
        <w:t xml:space="preserve">Clist, P. and Morrissey, O. (2011). Aid and tax revenue: signs of a positive effect since the 1980s. </w:t>
      </w:r>
      <w:r w:rsidRPr="007344DD">
        <w:rPr>
          <w:i/>
          <w:iCs/>
          <w:sz w:val="24"/>
          <w:szCs w:val="24"/>
        </w:rPr>
        <w:t>Journal of International Development</w:t>
      </w:r>
      <w:r w:rsidRPr="007344DD">
        <w:rPr>
          <w:sz w:val="24"/>
          <w:szCs w:val="24"/>
        </w:rPr>
        <w:t>, 23(2). 165–180.</w:t>
      </w:r>
    </w:p>
    <w:p w14:paraId="2939A50B" w14:textId="77777777" w:rsidR="004A7123" w:rsidRPr="007344DD" w:rsidRDefault="004A7123" w:rsidP="007344DD">
      <w:pPr>
        <w:rPr>
          <w:sz w:val="24"/>
          <w:szCs w:val="24"/>
        </w:rPr>
      </w:pPr>
      <w:r w:rsidRPr="007344DD">
        <w:rPr>
          <w:sz w:val="24"/>
          <w:szCs w:val="24"/>
        </w:rPr>
        <w:t xml:space="preserve">Cole, M. A. (2007). Corruption, income and the environment: an empirical analysis. </w:t>
      </w:r>
      <w:r w:rsidRPr="007344DD">
        <w:rPr>
          <w:i/>
          <w:iCs/>
          <w:sz w:val="24"/>
          <w:szCs w:val="24"/>
        </w:rPr>
        <w:t>Ecological Economics</w:t>
      </w:r>
      <w:r w:rsidRPr="007344DD">
        <w:rPr>
          <w:sz w:val="24"/>
          <w:szCs w:val="24"/>
        </w:rPr>
        <w:t>, 62(3–4). 637–647.</w:t>
      </w:r>
    </w:p>
    <w:p w14:paraId="237D514B" w14:textId="77777777" w:rsidR="004A7123" w:rsidRPr="007344DD" w:rsidRDefault="004A7123" w:rsidP="007344DD">
      <w:pPr>
        <w:rPr>
          <w:sz w:val="24"/>
          <w:szCs w:val="24"/>
        </w:rPr>
      </w:pPr>
      <w:r w:rsidRPr="007344DD">
        <w:rPr>
          <w:sz w:val="24"/>
          <w:szCs w:val="24"/>
        </w:rPr>
        <w:t xml:space="preserve">Collste, D., Pedercini, M. and Cornell, S. E. (2017). Policy coherence to achieve the SDGs: using integrated simulation models to assess effective policies. </w:t>
      </w:r>
      <w:r w:rsidRPr="007344DD">
        <w:rPr>
          <w:i/>
          <w:iCs/>
          <w:sz w:val="24"/>
          <w:szCs w:val="24"/>
        </w:rPr>
        <w:t>Sustainability Science</w:t>
      </w:r>
      <w:r w:rsidRPr="007344DD">
        <w:rPr>
          <w:sz w:val="24"/>
          <w:szCs w:val="24"/>
        </w:rPr>
        <w:t>, 12(6). 921–31. DOI:10.1007/s11625-017-0457-x.</w:t>
      </w:r>
    </w:p>
    <w:p w14:paraId="19A469DD" w14:textId="77777777" w:rsidR="004A7123" w:rsidRPr="007344DD" w:rsidRDefault="004A7123" w:rsidP="007344DD">
      <w:pPr>
        <w:rPr>
          <w:sz w:val="24"/>
          <w:szCs w:val="24"/>
        </w:rPr>
      </w:pPr>
      <w:r w:rsidRPr="007344DD">
        <w:rPr>
          <w:sz w:val="24"/>
          <w:szCs w:val="24"/>
        </w:rPr>
        <w:lastRenderedPageBreak/>
        <w:t xml:space="preserve">Diamond, J. M. (1998). </w:t>
      </w:r>
      <w:r w:rsidRPr="007344DD">
        <w:rPr>
          <w:i/>
          <w:iCs/>
          <w:sz w:val="24"/>
          <w:szCs w:val="24"/>
        </w:rPr>
        <w:t>Guns, Germs and Steel: A Short History of Everybody for the Last 13,000 Years</w:t>
      </w:r>
      <w:r w:rsidRPr="007344DD">
        <w:rPr>
          <w:sz w:val="24"/>
          <w:szCs w:val="24"/>
        </w:rPr>
        <w:t>. Random House.</w:t>
      </w:r>
    </w:p>
    <w:p w14:paraId="537DFEED" w14:textId="77777777" w:rsidR="004A7123" w:rsidRPr="007344DD" w:rsidRDefault="004A7123" w:rsidP="007344DD">
      <w:pPr>
        <w:rPr>
          <w:sz w:val="24"/>
          <w:szCs w:val="24"/>
        </w:rPr>
      </w:pPr>
      <w:r w:rsidRPr="007344DD">
        <w:rPr>
          <w:sz w:val="24"/>
          <w:szCs w:val="24"/>
        </w:rPr>
        <w:t xml:space="preserve">Drews, S. and van den Bergh, J. C. J. M. (2016). What explains public support for climate policies? A review of empirical and experimental studies. </w:t>
      </w:r>
      <w:r w:rsidRPr="007344DD">
        <w:rPr>
          <w:i/>
          <w:iCs/>
          <w:sz w:val="24"/>
          <w:szCs w:val="24"/>
        </w:rPr>
        <w:t>Climate Policy</w:t>
      </w:r>
      <w:r w:rsidRPr="007344DD">
        <w:rPr>
          <w:sz w:val="24"/>
          <w:szCs w:val="24"/>
        </w:rPr>
        <w:t>, 16(7). 855–76. DOI:10.1080/14693062.2015.1058240.</w:t>
      </w:r>
    </w:p>
    <w:p w14:paraId="23A9BA6B" w14:textId="77777777" w:rsidR="004A7123" w:rsidRPr="007344DD" w:rsidRDefault="004A7123" w:rsidP="007344DD">
      <w:pPr>
        <w:rPr>
          <w:sz w:val="24"/>
          <w:szCs w:val="24"/>
        </w:rPr>
      </w:pPr>
      <w:r w:rsidRPr="007344DD">
        <w:rPr>
          <w:sz w:val="24"/>
          <w:szCs w:val="24"/>
        </w:rPr>
        <w:t>EC (2015). Communication From the Commission to the European Parliament, the Council, the European Economic and Social Committee and the Committee of the Regions on A Global Partnership for Poverty Eradication and Sustainable Development after 2015. https://ec.europa.eu/europeaid/sites/devco/files/com-2015-44-final-5-2-2015_en.pdf.</w:t>
      </w:r>
    </w:p>
    <w:p w14:paraId="41615910" w14:textId="77777777" w:rsidR="004A7123" w:rsidRPr="007344DD" w:rsidRDefault="004A7123" w:rsidP="007344DD">
      <w:pPr>
        <w:rPr>
          <w:sz w:val="24"/>
          <w:szCs w:val="24"/>
        </w:rPr>
      </w:pPr>
      <w:r w:rsidRPr="007344DD">
        <w:rPr>
          <w:sz w:val="24"/>
          <w:szCs w:val="24"/>
        </w:rPr>
        <w:t xml:space="preserve">ECOSOC (2016). </w:t>
      </w:r>
      <w:r w:rsidRPr="007344DD">
        <w:rPr>
          <w:i/>
          <w:iCs/>
          <w:sz w:val="24"/>
          <w:szCs w:val="24"/>
        </w:rPr>
        <w:t>New Forms of Cooperation and Increased Coherence to Implement the SDGs</w:t>
      </w:r>
      <w:r w:rsidRPr="007344DD">
        <w:rPr>
          <w:sz w:val="24"/>
          <w:szCs w:val="24"/>
        </w:rPr>
        <w:t>. 2016 Development Cooperation Forum Policy Briefs, 15. DCF Secretariat, ECOSOC.</w:t>
      </w:r>
    </w:p>
    <w:p w14:paraId="4EA28B82" w14:textId="77777777" w:rsidR="004A7123" w:rsidRPr="007344DD" w:rsidRDefault="004A7123" w:rsidP="007344DD">
      <w:pPr>
        <w:rPr>
          <w:sz w:val="24"/>
          <w:szCs w:val="24"/>
        </w:rPr>
      </w:pPr>
      <w:r w:rsidRPr="007344DD">
        <w:rPr>
          <w:sz w:val="24"/>
          <w:szCs w:val="24"/>
        </w:rPr>
        <w:t xml:space="preserve">European Parliament (2017). </w:t>
      </w:r>
      <w:r w:rsidRPr="007344DD">
        <w:rPr>
          <w:i/>
          <w:iCs/>
          <w:sz w:val="24"/>
          <w:szCs w:val="24"/>
        </w:rPr>
        <w:t>European Parliament resolution of 16 November 2017 on the EU-Africa Strategy: a boost for development.</w:t>
      </w:r>
      <w:r w:rsidRPr="007344DD">
        <w:rPr>
          <w:sz w:val="24"/>
          <w:szCs w:val="24"/>
        </w:rPr>
        <w:t xml:space="preserve"> 2017/2083(INI). European Parliament. http://www.europarl.europa.eu/sides/getDoc.do?type=TA&amp;language=EN&amp;reference=P8-TA-2017-0448.</w:t>
      </w:r>
    </w:p>
    <w:p w14:paraId="4CCEEC1E" w14:textId="77777777" w:rsidR="004A7123" w:rsidRPr="007344DD" w:rsidRDefault="00775435" w:rsidP="007344DD">
      <w:pPr>
        <w:rPr>
          <w:sz w:val="24"/>
          <w:szCs w:val="24"/>
        </w:rPr>
      </w:pPr>
      <w:r w:rsidRPr="007344DD">
        <w:rPr>
          <w:sz w:val="24"/>
          <w:szCs w:val="24"/>
        </w:rPr>
        <w:t>Fjeldstad, O.</w:t>
      </w:r>
      <w:r w:rsidR="004A7123" w:rsidRPr="007344DD">
        <w:rPr>
          <w:sz w:val="24"/>
          <w:szCs w:val="24"/>
        </w:rPr>
        <w:t xml:space="preserve">H. (2014). Tax and Development: Donor Support to Strengthen Tax Systems in Developing Countries. </w:t>
      </w:r>
      <w:r w:rsidR="004A7123" w:rsidRPr="007344DD">
        <w:rPr>
          <w:i/>
          <w:iCs/>
          <w:sz w:val="24"/>
          <w:szCs w:val="24"/>
        </w:rPr>
        <w:t>Public Administration and Development</w:t>
      </w:r>
      <w:r w:rsidR="004A7123" w:rsidRPr="007344DD">
        <w:rPr>
          <w:sz w:val="24"/>
          <w:szCs w:val="24"/>
        </w:rPr>
        <w:t>, 34(3). 182–93. DOI:10.1002/pad.1676.</w:t>
      </w:r>
    </w:p>
    <w:p w14:paraId="39451856" w14:textId="77777777" w:rsidR="004A7123" w:rsidRPr="007344DD" w:rsidRDefault="004A7123" w:rsidP="007344DD">
      <w:pPr>
        <w:rPr>
          <w:sz w:val="24"/>
          <w:szCs w:val="24"/>
        </w:rPr>
      </w:pPr>
      <w:r w:rsidRPr="007344DD">
        <w:rPr>
          <w:sz w:val="24"/>
          <w:szCs w:val="24"/>
        </w:rPr>
        <w:t xml:space="preserve">Fredriksson, P. G. and Svensson, J. (2003). Political instability, corruption and policy formation: the case of environmental policy. </w:t>
      </w:r>
      <w:r w:rsidRPr="007344DD">
        <w:rPr>
          <w:i/>
          <w:iCs/>
          <w:sz w:val="24"/>
          <w:szCs w:val="24"/>
        </w:rPr>
        <w:t>Journal of Public Economics</w:t>
      </w:r>
      <w:r w:rsidRPr="007344DD">
        <w:rPr>
          <w:sz w:val="24"/>
          <w:szCs w:val="24"/>
        </w:rPr>
        <w:t>, 87(7). 1383–1405. DOI:10.1016/S0047-2727(02)00036-1.</w:t>
      </w:r>
    </w:p>
    <w:p w14:paraId="2AC36220" w14:textId="77777777" w:rsidR="004A7123" w:rsidRPr="007344DD" w:rsidRDefault="004A7123" w:rsidP="007344DD">
      <w:pPr>
        <w:rPr>
          <w:sz w:val="24"/>
          <w:szCs w:val="24"/>
        </w:rPr>
      </w:pPr>
      <w:r w:rsidRPr="007344DD">
        <w:rPr>
          <w:sz w:val="24"/>
          <w:szCs w:val="24"/>
        </w:rPr>
        <w:t xml:space="preserve">Fredriksson, P. G., Vollebergh, H. R. J. and Dijkgraaf, E. (2004). Corruption and energy efficiency in OECD countries: theory and evidence. </w:t>
      </w:r>
      <w:r w:rsidRPr="007344DD">
        <w:rPr>
          <w:i/>
          <w:iCs/>
          <w:sz w:val="24"/>
          <w:szCs w:val="24"/>
        </w:rPr>
        <w:t>Journal of Environmental Economics and Management</w:t>
      </w:r>
      <w:r w:rsidRPr="007344DD">
        <w:rPr>
          <w:sz w:val="24"/>
          <w:szCs w:val="24"/>
        </w:rPr>
        <w:t>, 47(2). 207–31. DOI:10.1016/j.jeem.2003.08.001.</w:t>
      </w:r>
    </w:p>
    <w:p w14:paraId="24983906" w14:textId="77777777" w:rsidR="004A7123" w:rsidRPr="007344DD" w:rsidRDefault="004A7123" w:rsidP="007344DD">
      <w:pPr>
        <w:rPr>
          <w:sz w:val="24"/>
          <w:szCs w:val="24"/>
        </w:rPr>
      </w:pPr>
      <w:r w:rsidRPr="007344DD">
        <w:rPr>
          <w:sz w:val="24"/>
          <w:szCs w:val="24"/>
        </w:rPr>
        <w:t xml:space="preserve">Friedman, E., Johnson, S., Kaufmann, D. and Zoido-Lobaton, P. (2000). Dodging the grabbing hand: the determinants of unofficial activity in 69 countries. </w:t>
      </w:r>
      <w:r w:rsidRPr="007344DD">
        <w:rPr>
          <w:i/>
          <w:iCs/>
          <w:sz w:val="24"/>
          <w:szCs w:val="24"/>
        </w:rPr>
        <w:t>Journal of Public Economics</w:t>
      </w:r>
      <w:r w:rsidRPr="007344DD">
        <w:rPr>
          <w:sz w:val="24"/>
          <w:szCs w:val="24"/>
        </w:rPr>
        <w:t>, 76(3). 459–93. DOI:10.1016/S0047-2727(99)00093-6.</w:t>
      </w:r>
    </w:p>
    <w:p w14:paraId="7ED05505" w14:textId="77777777" w:rsidR="004A7123" w:rsidRPr="007344DD" w:rsidRDefault="004A7123" w:rsidP="007344DD">
      <w:pPr>
        <w:rPr>
          <w:sz w:val="24"/>
          <w:szCs w:val="24"/>
        </w:rPr>
      </w:pPr>
      <w:r w:rsidRPr="007344DD">
        <w:rPr>
          <w:sz w:val="24"/>
          <w:szCs w:val="24"/>
        </w:rPr>
        <w:t xml:space="preserve">Galinato, G. I. and Galinato, S. P. (2016). The effects of government spending on deforestation due to agricultural land expansion and CO2 related emissions. </w:t>
      </w:r>
      <w:r w:rsidRPr="007344DD">
        <w:rPr>
          <w:i/>
          <w:iCs/>
          <w:sz w:val="24"/>
          <w:szCs w:val="24"/>
        </w:rPr>
        <w:t>Ecological Economics</w:t>
      </w:r>
      <w:r w:rsidRPr="007344DD">
        <w:rPr>
          <w:sz w:val="24"/>
          <w:szCs w:val="24"/>
        </w:rPr>
        <w:t>, 122. 43–53. DOI:10.1016/j.ecolecon.2015.10.025.</w:t>
      </w:r>
    </w:p>
    <w:p w14:paraId="195AA9B7" w14:textId="77777777" w:rsidR="004A7123" w:rsidRPr="007344DD" w:rsidRDefault="004A7123" w:rsidP="007344DD">
      <w:pPr>
        <w:rPr>
          <w:sz w:val="24"/>
          <w:szCs w:val="24"/>
        </w:rPr>
      </w:pPr>
      <w:r w:rsidRPr="007344DD">
        <w:rPr>
          <w:sz w:val="24"/>
          <w:szCs w:val="24"/>
        </w:rPr>
        <w:lastRenderedPageBreak/>
        <w:t xml:space="preserve">Gentile, E. (2017). Intellectual Property Rights and Foreign Technology Licensing in Developing Countries: An Empirical Investigation. </w:t>
      </w:r>
      <w:r w:rsidRPr="007344DD">
        <w:rPr>
          <w:i/>
          <w:iCs/>
          <w:sz w:val="24"/>
          <w:szCs w:val="24"/>
        </w:rPr>
        <w:t>ADB Economics Working Paper Series</w:t>
      </w:r>
      <w:r w:rsidRPr="007344DD">
        <w:rPr>
          <w:sz w:val="24"/>
          <w:szCs w:val="24"/>
        </w:rPr>
        <w:t>, (515).</w:t>
      </w:r>
    </w:p>
    <w:p w14:paraId="462D7F90" w14:textId="77777777" w:rsidR="004A7123" w:rsidRPr="007344DD" w:rsidRDefault="004A7123" w:rsidP="007344DD">
      <w:pPr>
        <w:rPr>
          <w:sz w:val="24"/>
          <w:szCs w:val="24"/>
        </w:rPr>
      </w:pPr>
      <w:r w:rsidRPr="007344DD">
        <w:rPr>
          <w:sz w:val="24"/>
          <w:szCs w:val="24"/>
        </w:rPr>
        <w:t xml:space="preserve">Glachant, M. and Dechezleprêtre, A. (2017). What role for climate negotiations on technology transfer? </w:t>
      </w:r>
      <w:r w:rsidRPr="007344DD">
        <w:rPr>
          <w:i/>
          <w:iCs/>
          <w:sz w:val="24"/>
          <w:szCs w:val="24"/>
        </w:rPr>
        <w:t>Climate Policy</w:t>
      </w:r>
      <w:r w:rsidRPr="007344DD">
        <w:rPr>
          <w:sz w:val="24"/>
          <w:szCs w:val="24"/>
        </w:rPr>
        <w:t>, 17(8). 962–981.</w:t>
      </w:r>
    </w:p>
    <w:p w14:paraId="5A8385FC" w14:textId="77777777" w:rsidR="004A7123" w:rsidRPr="007344DD" w:rsidRDefault="004A7123" w:rsidP="007344DD">
      <w:pPr>
        <w:rPr>
          <w:sz w:val="24"/>
          <w:szCs w:val="24"/>
        </w:rPr>
      </w:pPr>
      <w:r w:rsidRPr="007344DD">
        <w:rPr>
          <w:sz w:val="24"/>
          <w:szCs w:val="24"/>
        </w:rPr>
        <w:t xml:space="preserve">Gyorffy, D. (2012). </w:t>
      </w:r>
      <w:r w:rsidRPr="007344DD">
        <w:rPr>
          <w:i/>
          <w:iCs/>
          <w:sz w:val="24"/>
          <w:szCs w:val="24"/>
        </w:rPr>
        <w:t>Institutional Trust and Economic Policy: Lessons from the History of the Euro</w:t>
      </w:r>
      <w:r w:rsidRPr="007344DD">
        <w:rPr>
          <w:sz w:val="24"/>
          <w:szCs w:val="24"/>
        </w:rPr>
        <w:t>. Central European University Press.</w:t>
      </w:r>
    </w:p>
    <w:p w14:paraId="02B80A1D" w14:textId="77777777" w:rsidR="004A7123" w:rsidRPr="007344DD" w:rsidRDefault="004A7123" w:rsidP="007344DD">
      <w:pPr>
        <w:rPr>
          <w:sz w:val="24"/>
          <w:szCs w:val="24"/>
        </w:rPr>
      </w:pPr>
      <w:r w:rsidRPr="007344DD">
        <w:rPr>
          <w:sz w:val="24"/>
          <w:szCs w:val="24"/>
        </w:rPr>
        <w:t xml:space="preserve">Halkos, G. E. and Paizanos, E. A. (2013). The effect of government expenditure on the environment: An empirical investigation. </w:t>
      </w:r>
      <w:r w:rsidRPr="007344DD">
        <w:rPr>
          <w:i/>
          <w:iCs/>
          <w:sz w:val="24"/>
          <w:szCs w:val="24"/>
        </w:rPr>
        <w:t>Ecological Economics</w:t>
      </w:r>
      <w:r w:rsidRPr="007344DD">
        <w:rPr>
          <w:sz w:val="24"/>
          <w:szCs w:val="24"/>
        </w:rPr>
        <w:t>, 91. 48–56.</w:t>
      </w:r>
    </w:p>
    <w:p w14:paraId="6968ADC9" w14:textId="77777777" w:rsidR="004A7123" w:rsidRPr="007344DD" w:rsidRDefault="004A7123" w:rsidP="007344DD">
      <w:pPr>
        <w:rPr>
          <w:sz w:val="24"/>
          <w:szCs w:val="24"/>
        </w:rPr>
      </w:pPr>
      <w:r w:rsidRPr="007344DD">
        <w:rPr>
          <w:sz w:val="24"/>
          <w:szCs w:val="24"/>
        </w:rPr>
        <w:t xml:space="preserve">Harring, N. (2018). Trust and state intervention: Results from a Swedish survey on environmental policy support. </w:t>
      </w:r>
      <w:r w:rsidRPr="007344DD">
        <w:rPr>
          <w:i/>
          <w:iCs/>
          <w:sz w:val="24"/>
          <w:szCs w:val="24"/>
        </w:rPr>
        <w:t>Environmental Science &amp; Policy</w:t>
      </w:r>
      <w:r w:rsidRPr="007344DD">
        <w:rPr>
          <w:sz w:val="24"/>
          <w:szCs w:val="24"/>
        </w:rPr>
        <w:t>, 82. 1–8. DOI:10.1016/j.envsci.2018.01.002.</w:t>
      </w:r>
    </w:p>
    <w:p w14:paraId="6FDFDB26" w14:textId="77777777" w:rsidR="004A7123" w:rsidRPr="007344DD" w:rsidRDefault="004A7123" w:rsidP="007344DD">
      <w:pPr>
        <w:rPr>
          <w:sz w:val="24"/>
          <w:szCs w:val="24"/>
        </w:rPr>
      </w:pPr>
      <w:r w:rsidRPr="007344DD">
        <w:rPr>
          <w:sz w:val="24"/>
          <w:szCs w:val="24"/>
        </w:rPr>
        <w:t xml:space="preserve">Harring, N. and Jagers, S. C. (2013). Should We Trust in Values? Explaining Public Support for Pro-Environmental Taxes. </w:t>
      </w:r>
      <w:r w:rsidRPr="007344DD">
        <w:rPr>
          <w:i/>
          <w:iCs/>
          <w:sz w:val="24"/>
          <w:szCs w:val="24"/>
        </w:rPr>
        <w:t>Sustainability</w:t>
      </w:r>
      <w:r w:rsidRPr="007344DD">
        <w:rPr>
          <w:sz w:val="24"/>
          <w:szCs w:val="24"/>
        </w:rPr>
        <w:t>, 5(1). 210–27. DOI:10.3390/su5010210.</w:t>
      </w:r>
    </w:p>
    <w:p w14:paraId="79E73D8F" w14:textId="77777777" w:rsidR="004A7123" w:rsidRPr="007344DD" w:rsidRDefault="004A7123" w:rsidP="007344DD">
      <w:pPr>
        <w:rPr>
          <w:sz w:val="24"/>
          <w:szCs w:val="24"/>
        </w:rPr>
      </w:pPr>
      <w:r w:rsidRPr="007344DD">
        <w:rPr>
          <w:sz w:val="24"/>
          <w:szCs w:val="24"/>
        </w:rPr>
        <w:t xml:space="preserve">Hassan, E., Yaqub, O. and Diepeveen, S. (2010). </w:t>
      </w:r>
      <w:r w:rsidRPr="007344DD">
        <w:rPr>
          <w:i/>
          <w:iCs/>
          <w:sz w:val="24"/>
          <w:szCs w:val="24"/>
        </w:rPr>
        <w:t>Intellectual Property and Developing Countries</w:t>
      </w:r>
      <w:r w:rsidRPr="007344DD">
        <w:rPr>
          <w:sz w:val="24"/>
          <w:szCs w:val="24"/>
        </w:rPr>
        <w:t>. RAND Corporation.</w:t>
      </w:r>
    </w:p>
    <w:p w14:paraId="3731816C" w14:textId="77777777" w:rsidR="004A7123" w:rsidRPr="007344DD" w:rsidRDefault="004A7123" w:rsidP="007344DD">
      <w:pPr>
        <w:rPr>
          <w:sz w:val="24"/>
          <w:szCs w:val="24"/>
        </w:rPr>
      </w:pPr>
      <w:r w:rsidRPr="007344DD">
        <w:rPr>
          <w:sz w:val="24"/>
          <w:szCs w:val="24"/>
        </w:rPr>
        <w:t xml:space="preserve">Heinrich, T. and Kobayashi, Y. (2017). How do people evaluate foreign aid to’nasty’regimes? </w:t>
      </w:r>
      <w:r w:rsidRPr="007344DD">
        <w:rPr>
          <w:i/>
          <w:iCs/>
          <w:sz w:val="24"/>
          <w:szCs w:val="24"/>
        </w:rPr>
        <w:t>British Journal of Political Science</w:t>
      </w:r>
      <w:r w:rsidR="00775435" w:rsidRPr="007344DD">
        <w:rPr>
          <w:sz w:val="24"/>
          <w:szCs w:val="24"/>
        </w:rPr>
        <w:t>, 1-25. DOI:</w:t>
      </w:r>
      <w:r w:rsidR="00775435" w:rsidRPr="006211E6">
        <w:t xml:space="preserve"> </w:t>
      </w:r>
      <w:r w:rsidR="00775435" w:rsidRPr="007344DD">
        <w:rPr>
          <w:sz w:val="24"/>
          <w:szCs w:val="24"/>
        </w:rPr>
        <w:t>10.1017/S0007123417000503</w:t>
      </w:r>
    </w:p>
    <w:p w14:paraId="013EEA6C" w14:textId="77777777" w:rsidR="004A7123" w:rsidRPr="007344DD" w:rsidRDefault="004A7123" w:rsidP="007344DD">
      <w:pPr>
        <w:rPr>
          <w:sz w:val="24"/>
          <w:szCs w:val="24"/>
        </w:rPr>
      </w:pPr>
      <w:r w:rsidRPr="007344DD">
        <w:rPr>
          <w:sz w:val="24"/>
          <w:szCs w:val="24"/>
        </w:rPr>
        <w:t xml:space="preserve">International Monetary Fund (2018). Factsheet - The IMF and the Sustainable Development Goals. </w:t>
      </w:r>
      <w:r w:rsidRPr="007344DD">
        <w:rPr>
          <w:i/>
          <w:iCs/>
          <w:sz w:val="24"/>
          <w:szCs w:val="24"/>
        </w:rPr>
        <w:t>IMF</w:t>
      </w:r>
      <w:r w:rsidRPr="007344DD">
        <w:rPr>
          <w:sz w:val="24"/>
          <w:szCs w:val="24"/>
        </w:rPr>
        <w:t>, May. http://www.imf.org/en/About/Factsheets/Sheets/2016/08/01/16/46/Sustainable-Development-Goals.</w:t>
      </w:r>
    </w:p>
    <w:p w14:paraId="65B3F112" w14:textId="77777777" w:rsidR="004A7123" w:rsidRPr="007344DD" w:rsidRDefault="004A7123" w:rsidP="007344DD">
      <w:pPr>
        <w:rPr>
          <w:sz w:val="24"/>
          <w:szCs w:val="24"/>
        </w:rPr>
      </w:pPr>
      <w:r w:rsidRPr="007344DD">
        <w:rPr>
          <w:sz w:val="24"/>
          <w:szCs w:val="24"/>
        </w:rPr>
        <w:t xml:space="preserve">Kartha, S. and Erickson, P. (2011). </w:t>
      </w:r>
      <w:r w:rsidRPr="007344DD">
        <w:rPr>
          <w:i/>
          <w:iCs/>
          <w:sz w:val="24"/>
          <w:szCs w:val="24"/>
        </w:rPr>
        <w:t>Comparison of Annex 1 and Non-Annex 1 Pledges under the Cancun Agreements</w:t>
      </w:r>
      <w:r w:rsidRPr="007344DD">
        <w:rPr>
          <w:sz w:val="24"/>
          <w:szCs w:val="24"/>
        </w:rPr>
        <w:t>. Stockholm Environment Institute.</w:t>
      </w:r>
    </w:p>
    <w:p w14:paraId="43343674" w14:textId="77777777" w:rsidR="004A7123" w:rsidRPr="007344DD" w:rsidRDefault="004A7123" w:rsidP="007344DD">
      <w:pPr>
        <w:rPr>
          <w:sz w:val="24"/>
          <w:szCs w:val="24"/>
        </w:rPr>
      </w:pPr>
      <w:r w:rsidRPr="007344DD">
        <w:rPr>
          <w:sz w:val="24"/>
          <w:szCs w:val="24"/>
        </w:rPr>
        <w:t xml:space="preserve">Keefer, P. and Knack, S. (1997). Why don’t poor countries catch up? A cross-national test of an institutional explanation. </w:t>
      </w:r>
      <w:r w:rsidRPr="007344DD">
        <w:rPr>
          <w:i/>
          <w:iCs/>
          <w:sz w:val="24"/>
          <w:szCs w:val="24"/>
        </w:rPr>
        <w:t>Economic inquiry</w:t>
      </w:r>
      <w:r w:rsidRPr="007344DD">
        <w:rPr>
          <w:sz w:val="24"/>
          <w:szCs w:val="24"/>
        </w:rPr>
        <w:t>, 35(3). 590–602.</w:t>
      </w:r>
    </w:p>
    <w:p w14:paraId="4519C932" w14:textId="77777777" w:rsidR="004A7123" w:rsidRPr="007344DD" w:rsidRDefault="004A7123" w:rsidP="007344DD">
      <w:pPr>
        <w:rPr>
          <w:sz w:val="24"/>
          <w:szCs w:val="24"/>
        </w:rPr>
      </w:pPr>
      <w:r w:rsidRPr="007344DD">
        <w:rPr>
          <w:sz w:val="24"/>
          <w:szCs w:val="24"/>
        </w:rPr>
        <w:t xml:space="preserve">Keen, M. (2012). </w:t>
      </w:r>
      <w:r w:rsidRPr="007344DD">
        <w:rPr>
          <w:i/>
          <w:iCs/>
          <w:sz w:val="24"/>
          <w:szCs w:val="24"/>
        </w:rPr>
        <w:t>Taxation and Development - Again</w:t>
      </w:r>
      <w:r w:rsidRPr="007344DD">
        <w:rPr>
          <w:sz w:val="24"/>
          <w:szCs w:val="24"/>
        </w:rPr>
        <w:t>. ID 2169764. Social Science Research Network, Rochester, NY. https://papers.ssrn.com/abstract=2169764.</w:t>
      </w:r>
    </w:p>
    <w:p w14:paraId="094860D4" w14:textId="77777777" w:rsidR="004A7123" w:rsidRPr="007344DD" w:rsidRDefault="004A7123" w:rsidP="007344DD">
      <w:pPr>
        <w:rPr>
          <w:sz w:val="24"/>
          <w:szCs w:val="24"/>
        </w:rPr>
      </w:pPr>
      <w:r w:rsidRPr="007344DD">
        <w:rPr>
          <w:sz w:val="24"/>
          <w:szCs w:val="24"/>
        </w:rPr>
        <w:t xml:space="preserve">Koch, D.-J. (2017). Measuring long-term trends in policy coherence for development. </w:t>
      </w:r>
      <w:r w:rsidRPr="007344DD">
        <w:rPr>
          <w:i/>
          <w:iCs/>
          <w:sz w:val="24"/>
          <w:szCs w:val="24"/>
        </w:rPr>
        <w:t>Development Policy Review</w:t>
      </w:r>
      <w:r w:rsidRPr="007344DD">
        <w:rPr>
          <w:sz w:val="24"/>
          <w:szCs w:val="24"/>
        </w:rPr>
        <w:t>, 36(1). 87–110. DOI:10.1111/dpr.12280.</w:t>
      </w:r>
    </w:p>
    <w:p w14:paraId="38B75A71" w14:textId="77777777" w:rsidR="004A7123" w:rsidRPr="007344DD" w:rsidRDefault="004A7123" w:rsidP="007344DD">
      <w:pPr>
        <w:rPr>
          <w:sz w:val="24"/>
          <w:szCs w:val="24"/>
        </w:rPr>
      </w:pPr>
      <w:r w:rsidRPr="007344DD">
        <w:rPr>
          <w:sz w:val="24"/>
          <w:szCs w:val="24"/>
        </w:rPr>
        <w:lastRenderedPageBreak/>
        <w:t xml:space="preserve">Leitao, A. (2010). Corruption and the environmental Kuznets Curve: Empirical evidence for sulfur. </w:t>
      </w:r>
      <w:r w:rsidRPr="007344DD">
        <w:rPr>
          <w:i/>
          <w:iCs/>
          <w:sz w:val="24"/>
          <w:szCs w:val="24"/>
        </w:rPr>
        <w:t>Ecological Economics</w:t>
      </w:r>
      <w:r w:rsidRPr="007344DD">
        <w:rPr>
          <w:sz w:val="24"/>
          <w:szCs w:val="24"/>
        </w:rPr>
        <w:t>, 69(11). 2191–2201.</w:t>
      </w:r>
    </w:p>
    <w:p w14:paraId="6D156815" w14:textId="77777777" w:rsidR="004A7123" w:rsidRPr="007344DD" w:rsidRDefault="004A7123" w:rsidP="007344DD">
      <w:pPr>
        <w:rPr>
          <w:sz w:val="24"/>
          <w:szCs w:val="24"/>
        </w:rPr>
      </w:pPr>
      <w:r w:rsidRPr="007344DD">
        <w:rPr>
          <w:sz w:val="24"/>
          <w:szCs w:val="24"/>
        </w:rPr>
        <w:t xml:space="preserve">Makuta, I. and O’Hare, B. (2015). Quality of governance, public spending on health and health status in Sub Saharan Africa: a panel data regression analysis. </w:t>
      </w:r>
      <w:r w:rsidRPr="007344DD">
        <w:rPr>
          <w:i/>
          <w:iCs/>
          <w:sz w:val="24"/>
          <w:szCs w:val="24"/>
        </w:rPr>
        <w:t>BMC Public Health</w:t>
      </w:r>
      <w:r w:rsidRPr="007344DD">
        <w:rPr>
          <w:sz w:val="24"/>
          <w:szCs w:val="24"/>
        </w:rPr>
        <w:t>, 15(1). 932.</w:t>
      </w:r>
    </w:p>
    <w:p w14:paraId="6946CEF5" w14:textId="77777777" w:rsidR="004A7123" w:rsidRPr="007344DD" w:rsidRDefault="004A7123" w:rsidP="007344DD">
      <w:pPr>
        <w:rPr>
          <w:sz w:val="24"/>
          <w:szCs w:val="24"/>
        </w:rPr>
      </w:pPr>
      <w:r w:rsidRPr="007344DD">
        <w:rPr>
          <w:sz w:val="24"/>
          <w:szCs w:val="24"/>
        </w:rPr>
        <w:t xml:space="preserve">Milner, H. V. and Tingley, D. (2013). Public Opinion and Foreign Aid: A Review Essay. </w:t>
      </w:r>
      <w:r w:rsidRPr="007344DD">
        <w:rPr>
          <w:i/>
          <w:iCs/>
          <w:sz w:val="24"/>
          <w:szCs w:val="24"/>
        </w:rPr>
        <w:t>International Interactions</w:t>
      </w:r>
      <w:r w:rsidRPr="007344DD">
        <w:rPr>
          <w:sz w:val="24"/>
          <w:szCs w:val="24"/>
        </w:rPr>
        <w:t>, 39(3). 389–401. DOI:10.1080/03050629.2013.784090.</w:t>
      </w:r>
    </w:p>
    <w:p w14:paraId="5C7E8B68" w14:textId="77777777" w:rsidR="004A7123" w:rsidRPr="007344DD" w:rsidRDefault="004A7123" w:rsidP="007344DD">
      <w:pPr>
        <w:rPr>
          <w:sz w:val="24"/>
          <w:szCs w:val="24"/>
        </w:rPr>
      </w:pPr>
      <w:r w:rsidRPr="007344DD">
        <w:rPr>
          <w:sz w:val="24"/>
          <w:szCs w:val="24"/>
        </w:rPr>
        <w:t xml:space="preserve">Moore, M. (2008). Between coercion and contract: competing narratives on taxation and governance. In </w:t>
      </w:r>
      <w:r w:rsidRPr="007344DD">
        <w:rPr>
          <w:i/>
          <w:iCs/>
          <w:sz w:val="24"/>
          <w:szCs w:val="24"/>
        </w:rPr>
        <w:t>Taxation and state-building in developing countries</w:t>
      </w:r>
      <w:r w:rsidRPr="007344DD">
        <w:rPr>
          <w:sz w:val="24"/>
          <w:szCs w:val="24"/>
        </w:rPr>
        <w:t>. D. Brautigam, Fjeldstad, O.H, and Moore, M (eds.). Cambridge University Press, New York. 34–63.</w:t>
      </w:r>
    </w:p>
    <w:p w14:paraId="7DB6FF07" w14:textId="77777777" w:rsidR="004A7123" w:rsidRPr="007344DD" w:rsidRDefault="004A7123" w:rsidP="007344DD">
      <w:pPr>
        <w:rPr>
          <w:sz w:val="24"/>
          <w:szCs w:val="24"/>
        </w:rPr>
      </w:pPr>
      <w:r w:rsidRPr="007344DD">
        <w:rPr>
          <w:sz w:val="24"/>
          <w:szCs w:val="24"/>
        </w:rPr>
        <w:t xml:space="preserve">Morrissey, O. (2015). Aid and domestic resource mobilization with a focus on Sub-Saharan Africa. </w:t>
      </w:r>
      <w:r w:rsidRPr="007344DD">
        <w:rPr>
          <w:i/>
          <w:iCs/>
          <w:sz w:val="24"/>
          <w:szCs w:val="24"/>
        </w:rPr>
        <w:t>Oxford Review of Economic Policy</w:t>
      </w:r>
      <w:r w:rsidRPr="007344DD">
        <w:rPr>
          <w:sz w:val="24"/>
          <w:szCs w:val="24"/>
        </w:rPr>
        <w:t>, 31(3–4). 447–461.</w:t>
      </w:r>
    </w:p>
    <w:p w14:paraId="70629F1C" w14:textId="77777777" w:rsidR="004A7123" w:rsidRPr="007344DD" w:rsidRDefault="004A7123" w:rsidP="007344DD">
      <w:pPr>
        <w:rPr>
          <w:sz w:val="24"/>
          <w:szCs w:val="24"/>
        </w:rPr>
      </w:pPr>
      <w:r w:rsidRPr="007344DD">
        <w:rPr>
          <w:sz w:val="24"/>
          <w:szCs w:val="24"/>
        </w:rPr>
        <w:t>Morrissey, O., Prichard, W. and Torrance, S. (2014). Aid and Taxation: Exploring the relationship using new data.</w:t>
      </w:r>
    </w:p>
    <w:p w14:paraId="127EE0D9" w14:textId="77777777" w:rsidR="004A7123" w:rsidRPr="007344DD" w:rsidRDefault="004A7123" w:rsidP="007344DD">
      <w:pPr>
        <w:rPr>
          <w:sz w:val="24"/>
          <w:szCs w:val="24"/>
        </w:rPr>
      </w:pPr>
      <w:r w:rsidRPr="007344DD">
        <w:rPr>
          <w:sz w:val="24"/>
          <w:szCs w:val="24"/>
        </w:rPr>
        <w:t>Morrissey, O. and Torrance, S. (2015). Aid and taxation.</w:t>
      </w:r>
    </w:p>
    <w:p w14:paraId="2884990F" w14:textId="77777777" w:rsidR="004A7123" w:rsidRPr="007344DD" w:rsidRDefault="004A7123" w:rsidP="007344DD">
      <w:pPr>
        <w:rPr>
          <w:sz w:val="24"/>
          <w:szCs w:val="24"/>
        </w:rPr>
      </w:pPr>
      <w:r w:rsidRPr="007344DD">
        <w:rPr>
          <w:sz w:val="24"/>
          <w:szCs w:val="24"/>
        </w:rPr>
        <w:t xml:space="preserve">Nilsson, M., Griggs, D. and Visbeck, M. (2016). Policy: Map the interactions between Sustainable Development Goals. </w:t>
      </w:r>
      <w:r w:rsidRPr="007344DD">
        <w:rPr>
          <w:i/>
          <w:iCs/>
          <w:sz w:val="24"/>
          <w:szCs w:val="24"/>
        </w:rPr>
        <w:t>Nature News</w:t>
      </w:r>
      <w:r w:rsidRPr="007344DD">
        <w:rPr>
          <w:sz w:val="24"/>
          <w:szCs w:val="24"/>
        </w:rPr>
        <w:t>, 534(7607). 320. DOI:10.1038/534320a.</w:t>
      </w:r>
    </w:p>
    <w:p w14:paraId="01F09F15" w14:textId="77777777" w:rsidR="004A7123" w:rsidRPr="007344DD" w:rsidRDefault="004A7123" w:rsidP="007344DD">
      <w:pPr>
        <w:rPr>
          <w:sz w:val="24"/>
          <w:szCs w:val="24"/>
        </w:rPr>
      </w:pPr>
      <w:r w:rsidRPr="007344DD">
        <w:rPr>
          <w:sz w:val="24"/>
          <w:szCs w:val="24"/>
        </w:rPr>
        <w:t>Nistotskaya, M., Charron, N. and Lapuente, V. (2015). The wealth of regions: quality of governm</w:t>
      </w:r>
      <w:r w:rsidR="00D17E67" w:rsidRPr="007344DD">
        <w:rPr>
          <w:sz w:val="24"/>
          <w:szCs w:val="24"/>
        </w:rPr>
        <w:t xml:space="preserve">ent and SMEs in 172 European </w:t>
      </w:r>
      <w:r w:rsidRPr="007344DD">
        <w:rPr>
          <w:sz w:val="24"/>
          <w:szCs w:val="24"/>
        </w:rPr>
        <w:t xml:space="preserve">regions. </w:t>
      </w:r>
      <w:r w:rsidRPr="007344DD">
        <w:rPr>
          <w:i/>
          <w:iCs/>
          <w:sz w:val="24"/>
          <w:szCs w:val="24"/>
        </w:rPr>
        <w:t>Environment and Planning C: Government and Policy</w:t>
      </w:r>
      <w:r w:rsidRPr="007344DD">
        <w:rPr>
          <w:sz w:val="24"/>
          <w:szCs w:val="24"/>
        </w:rPr>
        <w:t>, 33(5). 1125–55. DOI:10.1177/0263774X15610058.</w:t>
      </w:r>
    </w:p>
    <w:p w14:paraId="071398D0" w14:textId="77777777" w:rsidR="004A7123" w:rsidRPr="007344DD" w:rsidRDefault="004A7123" w:rsidP="007344DD">
      <w:pPr>
        <w:rPr>
          <w:sz w:val="24"/>
          <w:szCs w:val="24"/>
        </w:rPr>
      </w:pPr>
      <w:r w:rsidRPr="007344DD">
        <w:rPr>
          <w:sz w:val="24"/>
          <w:szCs w:val="24"/>
        </w:rPr>
        <w:t xml:space="preserve">Nunn, N. (2012). Culture and the Historical Process. </w:t>
      </w:r>
      <w:r w:rsidRPr="007344DD">
        <w:rPr>
          <w:i/>
          <w:iCs/>
          <w:sz w:val="24"/>
          <w:szCs w:val="24"/>
        </w:rPr>
        <w:t>Economic History of Developing Regions</w:t>
      </w:r>
      <w:r w:rsidRPr="007344DD">
        <w:rPr>
          <w:sz w:val="24"/>
          <w:szCs w:val="24"/>
        </w:rPr>
        <w:t>, 27(sup1). S108–26. DOI:10.1080/20780389.2012.664864.</w:t>
      </w:r>
    </w:p>
    <w:p w14:paraId="15DA0F2D" w14:textId="77777777" w:rsidR="004A7123" w:rsidRPr="007344DD" w:rsidRDefault="004A7123" w:rsidP="007344DD">
      <w:pPr>
        <w:rPr>
          <w:sz w:val="24"/>
          <w:szCs w:val="24"/>
        </w:rPr>
      </w:pPr>
      <w:r w:rsidRPr="007344DD">
        <w:rPr>
          <w:sz w:val="24"/>
          <w:szCs w:val="24"/>
        </w:rPr>
        <w:t xml:space="preserve">Ockwell, D. and Mallett, A. (2013). Low carbon innovation and technology transfer. </w:t>
      </w:r>
      <w:r w:rsidR="00D17E67" w:rsidRPr="007344DD">
        <w:rPr>
          <w:sz w:val="24"/>
          <w:szCs w:val="24"/>
        </w:rPr>
        <w:t xml:space="preserve">In </w:t>
      </w:r>
      <w:r w:rsidRPr="007344DD">
        <w:rPr>
          <w:i/>
          <w:iCs/>
          <w:sz w:val="24"/>
          <w:szCs w:val="24"/>
        </w:rPr>
        <w:t>Low carbon development: key issues</w:t>
      </w:r>
      <w:r w:rsidR="00D17E67" w:rsidRPr="007344DD">
        <w:rPr>
          <w:sz w:val="24"/>
          <w:szCs w:val="24"/>
        </w:rPr>
        <w:t xml:space="preserve">. Urban, Frauke and Nordensvärd, Johan (eds.) Routledge. </w:t>
      </w:r>
      <w:r w:rsidRPr="007344DD">
        <w:rPr>
          <w:sz w:val="24"/>
          <w:szCs w:val="24"/>
        </w:rPr>
        <w:t>109–128.</w:t>
      </w:r>
    </w:p>
    <w:p w14:paraId="6984F0E0" w14:textId="77777777" w:rsidR="004A7123" w:rsidRPr="007344DD" w:rsidRDefault="004A7123" w:rsidP="007344DD">
      <w:pPr>
        <w:rPr>
          <w:sz w:val="24"/>
          <w:szCs w:val="24"/>
        </w:rPr>
      </w:pPr>
      <w:r w:rsidRPr="007344DD">
        <w:rPr>
          <w:sz w:val="24"/>
          <w:szCs w:val="24"/>
        </w:rPr>
        <w:t xml:space="preserve">O’Connor, D., Mackie, J., Van Esveld, D., Hosek, K., Scholz, I. and Weitz, N. (2016). </w:t>
      </w:r>
      <w:r w:rsidR="008F5583" w:rsidRPr="007344DD">
        <w:rPr>
          <w:i/>
          <w:iCs/>
          <w:sz w:val="24"/>
          <w:szCs w:val="24"/>
        </w:rPr>
        <w:t>Universality, Integration</w:t>
      </w:r>
      <w:r w:rsidRPr="007344DD">
        <w:rPr>
          <w:i/>
          <w:iCs/>
          <w:sz w:val="24"/>
          <w:szCs w:val="24"/>
        </w:rPr>
        <w:t>, and Policy Coherence for Sustainable Development: Early SDG Implementation in Selected OECD Countries</w:t>
      </w:r>
      <w:r w:rsidRPr="007344DD">
        <w:rPr>
          <w:sz w:val="24"/>
          <w:szCs w:val="24"/>
        </w:rPr>
        <w:t>. World Resources Institute (WRI), Washington.</w:t>
      </w:r>
    </w:p>
    <w:p w14:paraId="2C19B388" w14:textId="77777777" w:rsidR="004A7123" w:rsidRPr="007344DD" w:rsidRDefault="004A7123" w:rsidP="007344DD">
      <w:pPr>
        <w:rPr>
          <w:sz w:val="24"/>
          <w:szCs w:val="24"/>
        </w:rPr>
      </w:pPr>
      <w:r w:rsidRPr="007344DD">
        <w:rPr>
          <w:sz w:val="24"/>
          <w:szCs w:val="24"/>
        </w:rPr>
        <w:t xml:space="preserve">OECD (2016). </w:t>
      </w:r>
      <w:r w:rsidRPr="007344DD">
        <w:rPr>
          <w:i/>
          <w:iCs/>
          <w:sz w:val="24"/>
          <w:szCs w:val="24"/>
        </w:rPr>
        <w:t>Better Policies for Sustainable Development 2016: A New Framework for Policy Coherence</w:t>
      </w:r>
      <w:r w:rsidRPr="007344DD">
        <w:rPr>
          <w:sz w:val="24"/>
          <w:szCs w:val="24"/>
        </w:rPr>
        <w:t xml:space="preserve">. Organisation for Economic Co-operation and Development, Paris. </w:t>
      </w:r>
      <w:r w:rsidRPr="007344DD">
        <w:rPr>
          <w:sz w:val="24"/>
          <w:szCs w:val="24"/>
        </w:rPr>
        <w:lastRenderedPageBreak/>
        <w:t>http://www.oecd.org/greengrowth/better-policies-for-sustainable-development-2016-9789264256996-en.htm.</w:t>
      </w:r>
    </w:p>
    <w:p w14:paraId="710924A5" w14:textId="77777777" w:rsidR="004A7123" w:rsidRPr="007344DD" w:rsidRDefault="004A7123" w:rsidP="007344DD">
      <w:pPr>
        <w:rPr>
          <w:sz w:val="24"/>
          <w:szCs w:val="24"/>
        </w:rPr>
      </w:pPr>
      <w:r w:rsidRPr="007344DD">
        <w:rPr>
          <w:sz w:val="24"/>
          <w:szCs w:val="24"/>
        </w:rPr>
        <w:t xml:space="preserve">OECD (2018). </w:t>
      </w:r>
      <w:r w:rsidRPr="007344DD">
        <w:rPr>
          <w:i/>
          <w:iCs/>
          <w:sz w:val="24"/>
          <w:szCs w:val="24"/>
        </w:rPr>
        <w:t>Making Blended Finance Work for the Sustainable Development Goals</w:t>
      </w:r>
      <w:r w:rsidRPr="007344DD">
        <w:rPr>
          <w:sz w:val="24"/>
          <w:szCs w:val="24"/>
        </w:rPr>
        <w:t>. OECD Publishing, Paris.</w:t>
      </w:r>
    </w:p>
    <w:p w14:paraId="06CFCFA5" w14:textId="77777777" w:rsidR="004A7123" w:rsidRPr="007344DD" w:rsidRDefault="004A7123" w:rsidP="007344DD">
      <w:pPr>
        <w:rPr>
          <w:sz w:val="24"/>
          <w:szCs w:val="24"/>
        </w:rPr>
      </w:pPr>
      <w:r w:rsidRPr="007344DD">
        <w:rPr>
          <w:sz w:val="24"/>
          <w:szCs w:val="24"/>
        </w:rPr>
        <w:t xml:space="preserve">OECD-DAC (2012). </w:t>
      </w:r>
      <w:r w:rsidRPr="007344DD">
        <w:rPr>
          <w:i/>
          <w:iCs/>
          <w:sz w:val="24"/>
          <w:szCs w:val="24"/>
        </w:rPr>
        <w:t>Tax and Development: Aid Modalities for Strengthening Tax Systems.</w:t>
      </w:r>
      <w:r w:rsidRPr="007344DD">
        <w:rPr>
          <w:sz w:val="24"/>
          <w:szCs w:val="24"/>
        </w:rPr>
        <w:t xml:space="preserve"> Organization for Economic Co-operation and Development, Paris.</w:t>
      </w:r>
    </w:p>
    <w:p w14:paraId="6D5DB099" w14:textId="77777777" w:rsidR="004A7123" w:rsidRPr="007344DD" w:rsidRDefault="004A7123" w:rsidP="007344DD">
      <w:pPr>
        <w:rPr>
          <w:sz w:val="24"/>
          <w:szCs w:val="24"/>
        </w:rPr>
      </w:pPr>
      <w:r w:rsidRPr="007344DD">
        <w:rPr>
          <w:sz w:val="24"/>
          <w:szCs w:val="24"/>
        </w:rPr>
        <w:t xml:space="preserve">Pattberg, P. and Widerberg, O. (2016). Transnational multistakeholder partnerships for sustainable development: Conditions for success. </w:t>
      </w:r>
      <w:r w:rsidRPr="007344DD">
        <w:rPr>
          <w:i/>
          <w:iCs/>
          <w:sz w:val="24"/>
          <w:szCs w:val="24"/>
        </w:rPr>
        <w:t>Ambio</w:t>
      </w:r>
      <w:r w:rsidRPr="007344DD">
        <w:rPr>
          <w:sz w:val="24"/>
          <w:szCs w:val="24"/>
        </w:rPr>
        <w:t>, 45(1). 42–51.</w:t>
      </w:r>
    </w:p>
    <w:p w14:paraId="3E4CDE9C" w14:textId="77777777" w:rsidR="004A7123" w:rsidRPr="007344DD" w:rsidRDefault="004A7123" w:rsidP="007344DD">
      <w:pPr>
        <w:rPr>
          <w:sz w:val="24"/>
          <w:szCs w:val="24"/>
        </w:rPr>
      </w:pPr>
      <w:r w:rsidRPr="007344DD">
        <w:rPr>
          <w:sz w:val="24"/>
          <w:szCs w:val="24"/>
        </w:rPr>
        <w:t xml:space="preserve">Paxton, P. and Knack, S. (2012). Individual and country-level factors affecting support for foreign aid. </w:t>
      </w:r>
      <w:r w:rsidRPr="007344DD">
        <w:rPr>
          <w:i/>
          <w:iCs/>
          <w:sz w:val="24"/>
          <w:szCs w:val="24"/>
        </w:rPr>
        <w:t>International Political Science Review</w:t>
      </w:r>
      <w:r w:rsidRPr="007344DD">
        <w:rPr>
          <w:sz w:val="24"/>
          <w:szCs w:val="24"/>
        </w:rPr>
        <w:t>, 33(2). 171–92. DOI:10.1177/0192512111406095.</w:t>
      </w:r>
    </w:p>
    <w:p w14:paraId="2604D86C" w14:textId="77777777" w:rsidR="004A7123" w:rsidRPr="007344DD" w:rsidRDefault="004A7123" w:rsidP="007344DD">
      <w:pPr>
        <w:rPr>
          <w:sz w:val="24"/>
          <w:szCs w:val="24"/>
        </w:rPr>
      </w:pPr>
      <w:r w:rsidRPr="007344DD">
        <w:rPr>
          <w:sz w:val="24"/>
          <w:szCs w:val="24"/>
        </w:rPr>
        <w:t xml:space="preserve">Pellegrini, L. and Gerlagh, R. (2006). Corruption, Democracy, and Environmental Policy: An Empirical Contribution to the Debate. </w:t>
      </w:r>
      <w:r w:rsidRPr="007344DD">
        <w:rPr>
          <w:i/>
          <w:iCs/>
          <w:sz w:val="24"/>
          <w:szCs w:val="24"/>
        </w:rPr>
        <w:t>The Journal of Environment &amp; Development</w:t>
      </w:r>
      <w:r w:rsidRPr="007344DD">
        <w:rPr>
          <w:sz w:val="24"/>
          <w:szCs w:val="24"/>
        </w:rPr>
        <w:t>, 15(3). 332–54. DOI:10.1177/1070496506290960.</w:t>
      </w:r>
    </w:p>
    <w:p w14:paraId="22EF613B" w14:textId="77777777" w:rsidR="004A7123" w:rsidRPr="007344DD" w:rsidRDefault="004A7123" w:rsidP="007344DD">
      <w:pPr>
        <w:rPr>
          <w:sz w:val="24"/>
          <w:szCs w:val="24"/>
        </w:rPr>
      </w:pPr>
      <w:r w:rsidRPr="007344DD">
        <w:rPr>
          <w:sz w:val="24"/>
          <w:szCs w:val="24"/>
        </w:rPr>
        <w:t xml:space="preserve">Prichard, W. (2016). Reassessing Tax and Development Research: A New Dataset, New Findings, and Lessons for Research. </w:t>
      </w:r>
      <w:r w:rsidRPr="007344DD">
        <w:rPr>
          <w:i/>
          <w:iCs/>
          <w:sz w:val="24"/>
          <w:szCs w:val="24"/>
        </w:rPr>
        <w:t>World Development</w:t>
      </w:r>
      <w:r w:rsidRPr="007344DD">
        <w:rPr>
          <w:sz w:val="24"/>
          <w:szCs w:val="24"/>
        </w:rPr>
        <w:t>, 80. 48–60.</w:t>
      </w:r>
    </w:p>
    <w:p w14:paraId="5471DE89" w14:textId="77777777" w:rsidR="004A7123" w:rsidRPr="007344DD" w:rsidRDefault="004A7123" w:rsidP="007344DD">
      <w:pPr>
        <w:rPr>
          <w:sz w:val="24"/>
          <w:szCs w:val="24"/>
        </w:rPr>
      </w:pPr>
      <w:r w:rsidRPr="007344DD">
        <w:rPr>
          <w:sz w:val="24"/>
          <w:szCs w:val="24"/>
        </w:rPr>
        <w:t xml:space="preserve">Prichard, W., Salardi, P. and Segal, P. (2014). </w:t>
      </w:r>
      <w:r w:rsidRPr="007344DD">
        <w:rPr>
          <w:i/>
          <w:iCs/>
          <w:sz w:val="24"/>
          <w:szCs w:val="24"/>
        </w:rPr>
        <w:t>Taxation, Non-Tax Revenue and Democracy: New Evidence Using New Cross-Country Data</w:t>
      </w:r>
      <w:r w:rsidRPr="007344DD">
        <w:rPr>
          <w:sz w:val="24"/>
          <w:szCs w:val="24"/>
        </w:rPr>
        <w:t>. ID 2496872. Social Science Research Network, Rochester, NY. https://papers.ssrn.com/abstract=2496872.</w:t>
      </w:r>
    </w:p>
    <w:p w14:paraId="2F732043" w14:textId="77777777" w:rsidR="004A7123" w:rsidRPr="007344DD" w:rsidRDefault="004A7123" w:rsidP="007344DD">
      <w:pPr>
        <w:rPr>
          <w:sz w:val="24"/>
          <w:szCs w:val="24"/>
        </w:rPr>
      </w:pPr>
      <w:r w:rsidRPr="007344DD">
        <w:rPr>
          <w:sz w:val="24"/>
          <w:szCs w:val="24"/>
        </w:rPr>
        <w:t xml:space="preserve">Rai, V. and Funkhouser, E. (2015). Emerging insights on the dynamic drivers of international low-carbon technology transfer. </w:t>
      </w:r>
      <w:r w:rsidRPr="007344DD">
        <w:rPr>
          <w:i/>
          <w:iCs/>
          <w:sz w:val="24"/>
          <w:szCs w:val="24"/>
        </w:rPr>
        <w:t>Renewable and Sustainable Energy Reviews</w:t>
      </w:r>
      <w:r w:rsidRPr="007344DD">
        <w:rPr>
          <w:sz w:val="24"/>
          <w:szCs w:val="24"/>
        </w:rPr>
        <w:t>, 49. 350–364.</w:t>
      </w:r>
    </w:p>
    <w:p w14:paraId="6EA972CB" w14:textId="77777777" w:rsidR="004A7123" w:rsidRPr="007344DD" w:rsidRDefault="004A7123" w:rsidP="007344DD">
      <w:pPr>
        <w:rPr>
          <w:sz w:val="24"/>
          <w:szCs w:val="24"/>
        </w:rPr>
      </w:pPr>
      <w:r w:rsidRPr="007344DD">
        <w:rPr>
          <w:sz w:val="24"/>
          <w:szCs w:val="24"/>
        </w:rPr>
        <w:t xml:space="preserve">Rai, V., Schultz, K. and Funkhouser, E. (2014). International low carbon technology transfer: Do intellectual property regimes matter? </w:t>
      </w:r>
      <w:r w:rsidRPr="007344DD">
        <w:rPr>
          <w:i/>
          <w:iCs/>
          <w:sz w:val="24"/>
          <w:szCs w:val="24"/>
        </w:rPr>
        <w:t>Global Environmental Change</w:t>
      </w:r>
      <w:r w:rsidRPr="007344DD">
        <w:rPr>
          <w:sz w:val="24"/>
          <w:szCs w:val="24"/>
        </w:rPr>
        <w:t>, 24(Supplement C). 60–74. DOI:10.1016/j.gloenvcha.2013.10.004.</w:t>
      </w:r>
    </w:p>
    <w:p w14:paraId="75A5C862" w14:textId="77777777" w:rsidR="004A7123" w:rsidRPr="007344DD" w:rsidRDefault="004A7123" w:rsidP="007344DD">
      <w:pPr>
        <w:rPr>
          <w:sz w:val="24"/>
          <w:szCs w:val="24"/>
        </w:rPr>
      </w:pPr>
      <w:r w:rsidRPr="007344DD">
        <w:rPr>
          <w:sz w:val="24"/>
          <w:szCs w:val="24"/>
        </w:rPr>
        <w:t xml:space="preserve">Remmer, K. L. (2004). Does foreign aid promote the expansion of government? </w:t>
      </w:r>
      <w:r w:rsidRPr="007344DD">
        <w:rPr>
          <w:i/>
          <w:iCs/>
          <w:sz w:val="24"/>
          <w:szCs w:val="24"/>
        </w:rPr>
        <w:t>American Journal of Political Science</w:t>
      </w:r>
      <w:r w:rsidRPr="007344DD">
        <w:rPr>
          <w:sz w:val="24"/>
          <w:szCs w:val="24"/>
        </w:rPr>
        <w:t>, 48(1). 77–92.</w:t>
      </w:r>
    </w:p>
    <w:p w14:paraId="74055481" w14:textId="77777777" w:rsidR="004A7123" w:rsidRPr="007344DD" w:rsidRDefault="004A7123" w:rsidP="007344DD">
      <w:pPr>
        <w:rPr>
          <w:sz w:val="24"/>
          <w:szCs w:val="24"/>
        </w:rPr>
      </w:pPr>
      <w:r w:rsidRPr="007344DD">
        <w:rPr>
          <w:sz w:val="24"/>
          <w:szCs w:val="24"/>
        </w:rPr>
        <w:t xml:space="preserve">Rodrik, D., Subramanian, A. and Trebbi, F. (2004). Institutions Rule: The Primacy of Institutions Over Geography and Integration in Economic Development. </w:t>
      </w:r>
      <w:r w:rsidRPr="007344DD">
        <w:rPr>
          <w:i/>
          <w:iCs/>
          <w:sz w:val="24"/>
          <w:szCs w:val="24"/>
        </w:rPr>
        <w:t>Journal of Economic Growth</w:t>
      </w:r>
      <w:r w:rsidRPr="007344DD">
        <w:rPr>
          <w:sz w:val="24"/>
          <w:szCs w:val="24"/>
        </w:rPr>
        <w:t>, 9(2). 131–65. DOI:10.1023/B:JOEG.0000031425.72248.85.</w:t>
      </w:r>
    </w:p>
    <w:p w14:paraId="0B87D147" w14:textId="77777777" w:rsidR="004A7123" w:rsidRPr="007344DD" w:rsidRDefault="004A7123" w:rsidP="007344DD">
      <w:pPr>
        <w:rPr>
          <w:sz w:val="24"/>
          <w:szCs w:val="24"/>
        </w:rPr>
      </w:pPr>
      <w:r w:rsidRPr="007344DD">
        <w:rPr>
          <w:sz w:val="24"/>
          <w:szCs w:val="24"/>
        </w:rPr>
        <w:t xml:space="preserve">Ross, M. L. (2001). Does Oil Hinder Democracy? </w:t>
      </w:r>
      <w:r w:rsidRPr="007344DD">
        <w:rPr>
          <w:i/>
          <w:iCs/>
          <w:sz w:val="24"/>
          <w:szCs w:val="24"/>
        </w:rPr>
        <w:t>World Politics</w:t>
      </w:r>
      <w:r w:rsidRPr="007344DD">
        <w:rPr>
          <w:sz w:val="24"/>
          <w:szCs w:val="24"/>
        </w:rPr>
        <w:t>, 53(3). 325–61. DOI:10.1353/wp.2001.0011.</w:t>
      </w:r>
    </w:p>
    <w:p w14:paraId="7474405F" w14:textId="77777777" w:rsidR="004A7123" w:rsidRPr="007344DD" w:rsidRDefault="004A7123" w:rsidP="007344DD">
      <w:pPr>
        <w:rPr>
          <w:sz w:val="24"/>
          <w:szCs w:val="24"/>
        </w:rPr>
      </w:pPr>
      <w:r w:rsidRPr="007344DD">
        <w:rPr>
          <w:sz w:val="24"/>
          <w:szCs w:val="24"/>
        </w:rPr>
        <w:lastRenderedPageBreak/>
        <w:t xml:space="preserve">Ross, M. L. (2015). What Have We Learned about the Resource Curse? </w:t>
      </w:r>
      <w:r w:rsidRPr="007344DD">
        <w:rPr>
          <w:i/>
          <w:iCs/>
          <w:sz w:val="24"/>
          <w:szCs w:val="24"/>
        </w:rPr>
        <w:t>Annual Review of Political Science</w:t>
      </w:r>
      <w:r w:rsidRPr="007344DD">
        <w:rPr>
          <w:sz w:val="24"/>
          <w:szCs w:val="24"/>
        </w:rPr>
        <w:t>, 18(1). 239–59. DOI:10.1146/annurev-polisci-052213-040359.</w:t>
      </w:r>
    </w:p>
    <w:p w14:paraId="2AD66377" w14:textId="77777777" w:rsidR="004A7123" w:rsidRPr="007344DD" w:rsidRDefault="004A7123" w:rsidP="007344DD">
      <w:pPr>
        <w:rPr>
          <w:sz w:val="24"/>
          <w:szCs w:val="24"/>
        </w:rPr>
      </w:pPr>
      <w:r w:rsidRPr="007344DD">
        <w:rPr>
          <w:sz w:val="24"/>
          <w:szCs w:val="24"/>
        </w:rPr>
        <w:t xml:space="preserve">Rothstein, B. (2011). </w:t>
      </w:r>
      <w:r w:rsidRPr="007344DD">
        <w:rPr>
          <w:i/>
          <w:iCs/>
          <w:sz w:val="24"/>
          <w:szCs w:val="24"/>
        </w:rPr>
        <w:t>The Quality of Government: Corruption, Social Trust, and Inequality in International Perspective</w:t>
      </w:r>
      <w:r w:rsidRPr="007344DD">
        <w:rPr>
          <w:sz w:val="24"/>
          <w:szCs w:val="24"/>
        </w:rPr>
        <w:t>. University of Chicago Press.</w:t>
      </w:r>
    </w:p>
    <w:p w14:paraId="7DB295E2" w14:textId="77777777" w:rsidR="004A7123" w:rsidRPr="007344DD" w:rsidRDefault="004A7123" w:rsidP="007344DD">
      <w:pPr>
        <w:rPr>
          <w:sz w:val="24"/>
          <w:szCs w:val="24"/>
          <w:lang w:val="sv-SE"/>
        </w:rPr>
      </w:pPr>
      <w:r w:rsidRPr="007344DD">
        <w:rPr>
          <w:sz w:val="24"/>
          <w:szCs w:val="24"/>
        </w:rPr>
        <w:t xml:space="preserve">Sachs, J. D. (2012). Government, Geography, and Growth: The True Drivers of Economic Development. </w:t>
      </w:r>
      <w:r w:rsidRPr="007344DD">
        <w:rPr>
          <w:i/>
          <w:iCs/>
          <w:sz w:val="24"/>
          <w:szCs w:val="24"/>
          <w:lang w:val="sv-SE"/>
        </w:rPr>
        <w:t>Foreign Affairs</w:t>
      </w:r>
      <w:r w:rsidRPr="007344DD">
        <w:rPr>
          <w:sz w:val="24"/>
          <w:szCs w:val="24"/>
          <w:lang w:val="sv-SE"/>
        </w:rPr>
        <w:t>, 91(5). 142–50.</w:t>
      </w:r>
    </w:p>
    <w:p w14:paraId="472CEE25" w14:textId="77777777" w:rsidR="004A7123" w:rsidRPr="007344DD" w:rsidRDefault="004A7123" w:rsidP="007344DD">
      <w:pPr>
        <w:rPr>
          <w:sz w:val="24"/>
          <w:szCs w:val="24"/>
          <w:lang w:val="sv-SE"/>
        </w:rPr>
      </w:pPr>
      <w:r w:rsidRPr="007344DD">
        <w:rPr>
          <w:sz w:val="24"/>
          <w:szCs w:val="24"/>
          <w:lang w:val="sv-SE"/>
        </w:rPr>
        <w:t xml:space="preserve">SCB (2017). </w:t>
      </w:r>
      <w:r w:rsidRPr="007344DD">
        <w:rPr>
          <w:i/>
          <w:iCs/>
          <w:sz w:val="24"/>
          <w:szCs w:val="24"/>
          <w:lang w:val="sv-SE"/>
        </w:rPr>
        <w:t>Statistisk Uppföljning Av Agenda 2030</w:t>
      </w:r>
      <w:r w:rsidRPr="007344DD">
        <w:rPr>
          <w:sz w:val="24"/>
          <w:szCs w:val="24"/>
          <w:lang w:val="sv-SE"/>
        </w:rPr>
        <w:t>. Statistiska centralbyrån, Stockholm. http://www.scb.se/contentassets/404caaf5c86740939115864265d2c95e/mi1303_2017a01_br_x41br1701.pdf.</w:t>
      </w:r>
    </w:p>
    <w:p w14:paraId="21B8E2C7" w14:textId="77777777" w:rsidR="004A7123" w:rsidRPr="007344DD" w:rsidRDefault="004A7123" w:rsidP="007344DD">
      <w:pPr>
        <w:rPr>
          <w:sz w:val="24"/>
          <w:szCs w:val="24"/>
        </w:rPr>
      </w:pPr>
      <w:r w:rsidRPr="007344DD">
        <w:rPr>
          <w:sz w:val="24"/>
          <w:szCs w:val="24"/>
        </w:rPr>
        <w:t xml:space="preserve">Schäferhoff, M., Campe, S. and Kaan, C. (2009). Transnational Public-Private Partnerships in International Relations: Making Sense of Concepts, Research Frameworks, and Results. </w:t>
      </w:r>
      <w:r w:rsidRPr="007344DD">
        <w:rPr>
          <w:i/>
          <w:iCs/>
          <w:sz w:val="24"/>
          <w:szCs w:val="24"/>
        </w:rPr>
        <w:t>International Studies Review</w:t>
      </w:r>
      <w:r w:rsidRPr="007344DD">
        <w:rPr>
          <w:sz w:val="24"/>
          <w:szCs w:val="24"/>
        </w:rPr>
        <w:t>, 11(3). 451–474.</w:t>
      </w:r>
    </w:p>
    <w:p w14:paraId="4CE09DE5" w14:textId="77777777" w:rsidR="004A7123" w:rsidRPr="007344DD" w:rsidRDefault="004A7123" w:rsidP="007344DD">
      <w:pPr>
        <w:rPr>
          <w:sz w:val="24"/>
          <w:szCs w:val="24"/>
        </w:rPr>
      </w:pPr>
      <w:r w:rsidRPr="007344DD">
        <w:rPr>
          <w:sz w:val="24"/>
          <w:szCs w:val="24"/>
        </w:rPr>
        <w:t xml:space="preserve">Schmidt-Traub, G. (2016). </w:t>
      </w:r>
      <w:r w:rsidRPr="007344DD">
        <w:rPr>
          <w:i/>
          <w:iCs/>
          <w:sz w:val="24"/>
          <w:szCs w:val="24"/>
        </w:rPr>
        <w:t>Investment Needs to Achieve the Sustainable Development Goals: Understanding the Billions and Trillions</w:t>
      </w:r>
      <w:r w:rsidRPr="007344DD">
        <w:rPr>
          <w:sz w:val="24"/>
          <w:szCs w:val="24"/>
        </w:rPr>
        <w:t>. Sustainable Development Solutions Network.</w:t>
      </w:r>
    </w:p>
    <w:p w14:paraId="60163D78" w14:textId="77777777" w:rsidR="004A7123" w:rsidRPr="007344DD" w:rsidRDefault="004A7123" w:rsidP="007344DD">
      <w:pPr>
        <w:rPr>
          <w:sz w:val="24"/>
          <w:szCs w:val="24"/>
        </w:rPr>
      </w:pPr>
      <w:r w:rsidRPr="007344DD">
        <w:rPr>
          <w:sz w:val="24"/>
          <w:szCs w:val="24"/>
        </w:rPr>
        <w:t xml:space="preserve">Suzuki, M. (2015). Identifying roles of international institutions in clean energy technology innovation and diffusion in the developing countries: matching barriers with roles of the institutions. </w:t>
      </w:r>
      <w:r w:rsidRPr="007344DD">
        <w:rPr>
          <w:i/>
          <w:iCs/>
          <w:sz w:val="24"/>
          <w:szCs w:val="24"/>
        </w:rPr>
        <w:t>Journal of Cleaner Production</w:t>
      </w:r>
      <w:r w:rsidRPr="007344DD">
        <w:rPr>
          <w:sz w:val="24"/>
          <w:szCs w:val="24"/>
        </w:rPr>
        <w:t>, 98. 229–40. DOI:10.1016/j.jclepro.2014.08.070.</w:t>
      </w:r>
    </w:p>
    <w:p w14:paraId="50411848" w14:textId="77777777" w:rsidR="004A7123" w:rsidRPr="007344DD" w:rsidRDefault="004A7123" w:rsidP="007344DD">
      <w:pPr>
        <w:rPr>
          <w:sz w:val="24"/>
          <w:szCs w:val="24"/>
        </w:rPr>
      </w:pPr>
      <w:r w:rsidRPr="007344DD">
        <w:rPr>
          <w:sz w:val="24"/>
          <w:szCs w:val="24"/>
        </w:rPr>
        <w:t xml:space="preserve">Svallfors, S. (2013). Government quality, egalitarianism, and attitudes to taxes and social spending: a European comparison. </w:t>
      </w:r>
      <w:r w:rsidRPr="007344DD">
        <w:rPr>
          <w:i/>
          <w:iCs/>
          <w:sz w:val="24"/>
          <w:szCs w:val="24"/>
        </w:rPr>
        <w:t>European Political Science Review</w:t>
      </w:r>
      <w:r w:rsidRPr="007344DD">
        <w:rPr>
          <w:sz w:val="24"/>
          <w:szCs w:val="24"/>
        </w:rPr>
        <w:t>, 5(3). 363–80. DOI:10.1017/S175577391200015X.</w:t>
      </w:r>
    </w:p>
    <w:p w14:paraId="6C4D6D60" w14:textId="77777777" w:rsidR="004A7123" w:rsidRPr="007344DD" w:rsidRDefault="004A7123" w:rsidP="007344DD">
      <w:pPr>
        <w:rPr>
          <w:sz w:val="24"/>
          <w:szCs w:val="24"/>
        </w:rPr>
      </w:pPr>
      <w:r w:rsidRPr="007344DD">
        <w:rPr>
          <w:sz w:val="24"/>
          <w:szCs w:val="24"/>
        </w:rPr>
        <w:t xml:space="preserve">Sweet, C. M. and Maggio, D. S. E. (2015). Do stronger intellectual property rights increase innovation? </w:t>
      </w:r>
      <w:r w:rsidRPr="007344DD">
        <w:rPr>
          <w:i/>
          <w:iCs/>
          <w:sz w:val="24"/>
          <w:szCs w:val="24"/>
        </w:rPr>
        <w:t>World Development</w:t>
      </w:r>
      <w:r w:rsidRPr="007344DD">
        <w:rPr>
          <w:sz w:val="24"/>
          <w:szCs w:val="24"/>
        </w:rPr>
        <w:t>, 66. 665–677.</w:t>
      </w:r>
    </w:p>
    <w:p w14:paraId="7169F94D" w14:textId="77777777" w:rsidR="004A7123" w:rsidRPr="007344DD" w:rsidRDefault="004A7123" w:rsidP="007344DD">
      <w:pPr>
        <w:rPr>
          <w:sz w:val="24"/>
          <w:szCs w:val="24"/>
        </w:rPr>
      </w:pPr>
      <w:r w:rsidRPr="007344DD">
        <w:rPr>
          <w:sz w:val="24"/>
          <w:szCs w:val="24"/>
        </w:rPr>
        <w:t xml:space="preserve">Tamazian, A. and Bhaskara Rao, B. (2010). Do economic, financial and institutional developments matter for environmental degradation? Evidence from transitional economies. </w:t>
      </w:r>
      <w:r w:rsidRPr="007344DD">
        <w:rPr>
          <w:i/>
          <w:iCs/>
          <w:sz w:val="24"/>
          <w:szCs w:val="24"/>
        </w:rPr>
        <w:t>Energy Economics</w:t>
      </w:r>
      <w:r w:rsidRPr="007344DD">
        <w:rPr>
          <w:sz w:val="24"/>
          <w:szCs w:val="24"/>
        </w:rPr>
        <w:t>, 32(1). 137–45. DOI:10.1016/j.eneco.2009.04.004.</w:t>
      </w:r>
    </w:p>
    <w:p w14:paraId="098E01E0" w14:textId="77777777" w:rsidR="004A7123" w:rsidRPr="007344DD" w:rsidRDefault="004A7123" w:rsidP="007344DD">
      <w:pPr>
        <w:rPr>
          <w:sz w:val="24"/>
          <w:szCs w:val="24"/>
        </w:rPr>
      </w:pPr>
      <w:r w:rsidRPr="007344DD">
        <w:rPr>
          <w:sz w:val="24"/>
          <w:szCs w:val="24"/>
        </w:rPr>
        <w:t xml:space="preserve">Thornton, J. (2014). Does foreign aid reduce tax revenue? Further evidence. </w:t>
      </w:r>
      <w:r w:rsidRPr="007344DD">
        <w:rPr>
          <w:i/>
          <w:iCs/>
          <w:sz w:val="24"/>
          <w:szCs w:val="24"/>
        </w:rPr>
        <w:t>Applied Economics</w:t>
      </w:r>
      <w:r w:rsidRPr="007344DD">
        <w:rPr>
          <w:sz w:val="24"/>
          <w:szCs w:val="24"/>
        </w:rPr>
        <w:t>, 46(4). 359–373.</w:t>
      </w:r>
    </w:p>
    <w:p w14:paraId="27EAAE71" w14:textId="77777777" w:rsidR="004A7123" w:rsidRPr="007344DD" w:rsidRDefault="004A7123" w:rsidP="007344DD">
      <w:pPr>
        <w:rPr>
          <w:sz w:val="24"/>
          <w:szCs w:val="24"/>
        </w:rPr>
      </w:pPr>
      <w:r w:rsidRPr="007344DD">
        <w:rPr>
          <w:sz w:val="24"/>
          <w:szCs w:val="24"/>
        </w:rPr>
        <w:t xml:space="preserve">Tiba, S., Omri, A. and Frikha, M. (2016). The four-way linkages between renewable energy, environmental quality, trade and economic growth: a comparative analysis between high and middle-income countries. </w:t>
      </w:r>
      <w:r w:rsidRPr="007344DD">
        <w:rPr>
          <w:i/>
          <w:iCs/>
          <w:sz w:val="24"/>
          <w:szCs w:val="24"/>
        </w:rPr>
        <w:t>Energy Systems</w:t>
      </w:r>
      <w:r w:rsidRPr="007344DD">
        <w:rPr>
          <w:sz w:val="24"/>
          <w:szCs w:val="24"/>
        </w:rPr>
        <w:t>, 7(1). 103–144.</w:t>
      </w:r>
    </w:p>
    <w:p w14:paraId="7132E423" w14:textId="77777777" w:rsidR="004A7123" w:rsidRPr="007344DD" w:rsidRDefault="004A7123" w:rsidP="007344DD">
      <w:pPr>
        <w:rPr>
          <w:sz w:val="24"/>
          <w:szCs w:val="24"/>
        </w:rPr>
      </w:pPr>
      <w:r w:rsidRPr="007344DD">
        <w:rPr>
          <w:sz w:val="24"/>
          <w:szCs w:val="24"/>
        </w:rPr>
        <w:lastRenderedPageBreak/>
        <w:t xml:space="preserve">UN (2015). </w:t>
      </w:r>
      <w:r w:rsidRPr="007344DD">
        <w:rPr>
          <w:i/>
          <w:iCs/>
          <w:sz w:val="24"/>
          <w:szCs w:val="24"/>
        </w:rPr>
        <w:t>Addis Ababa Action Agenda of the Third International Conference on Financing for Development</w:t>
      </w:r>
      <w:r w:rsidRPr="007344DD">
        <w:rPr>
          <w:sz w:val="24"/>
          <w:szCs w:val="24"/>
        </w:rPr>
        <w:t>. https://sustainabledevelopment.un.org/content/documents/2051AAAA_Outcome.pdf.</w:t>
      </w:r>
    </w:p>
    <w:p w14:paraId="486710AB" w14:textId="77777777" w:rsidR="004A7123" w:rsidRPr="007344DD" w:rsidRDefault="004A7123" w:rsidP="007344DD">
      <w:pPr>
        <w:rPr>
          <w:sz w:val="24"/>
          <w:szCs w:val="24"/>
        </w:rPr>
      </w:pPr>
      <w:r w:rsidRPr="007344DD">
        <w:rPr>
          <w:sz w:val="24"/>
          <w:szCs w:val="24"/>
        </w:rPr>
        <w:t xml:space="preserve">UNCTAD (2014). </w:t>
      </w:r>
      <w:r w:rsidRPr="007344DD">
        <w:rPr>
          <w:i/>
          <w:iCs/>
          <w:sz w:val="24"/>
          <w:szCs w:val="24"/>
        </w:rPr>
        <w:t>Transfer of Technology and Knowledge Sharing for Developmen</w:t>
      </w:r>
      <w:r w:rsidRPr="007344DD">
        <w:rPr>
          <w:sz w:val="24"/>
          <w:szCs w:val="24"/>
        </w:rPr>
        <w:t>. United Nations Conference on Trade and Development.</w:t>
      </w:r>
    </w:p>
    <w:p w14:paraId="34F75700" w14:textId="77777777" w:rsidR="004A7123" w:rsidRPr="007344DD" w:rsidRDefault="004A7123" w:rsidP="007344DD">
      <w:pPr>
        <w:rPr>
          <w:sz w:val="24"/>
          <w:szCs w:val="24"/>
        </w:rPr>
      </w:pPr>
      <w:r w:rsidRPr="007344DD">
        <w:rPr>
          <w:sz w:val="24"/>
          <w:szCs w:val="24"/>
        </w:rPr>
        <w:t xml:space="preserve">UNCTAD (2015). </w:t>
      </w:r>
      <w:r w:rsidRPr="007344DD">
        <w:rPr>
          <w:i/>
          <w:iCs/>
          <w:sz w:val="24"/>
          <w:szCs w:val="24"/>
        </w:rPr>
        <w:t>Investment Policy Framework for Sustainable Development</w:t>
      </w:r>
      <w:r w:rsidRPr="007344DD">
        <w:rPr>
          <w:sz w:val="24"/>
          <w:szCs w:val="24"/>
        </w:rPr>
        <w:t>.</w:t>
      </w:r>
    </w:p>
    <w:p w14:paraId="0FD15D8A" w14:textId="77777777" w:rsidR="004A7123" w:rsidRPr="007344DD" w:rsidRDefault="004A7123" w:rsidP="007344DD">
      <w:pPr>
        <w:rPr>
          <w:sz w:val="24"/>
          <w:szCs w:val="24"/>
        </w:rPr>
      </w:pPr>
      <w:r w:rsidRPr="007344DD">
        <w:rPr>
          <w:sz w:val="24"/>
          <w:szCs w:val="24"/>
        </w:rPr>
        <w:t xml:space="preserve">UNCTAD (2017). </w:t>
      </w:r>
      <w:r w:rsidRPr="007344DD">
        <w:rPr>
          <w:i/>
          <w:iCs/>
          <w:sz w:val="24"/>
          <w:szCs w:val="24"/>
        </w:rPr>
        <w:t>The Least Developed Countries Report 2017</w:t>
      </w:r>
      <w:r w:rsidRPr="007344DD">
        <w:rPr>
          <w:sz w:val="24"/>
          <w:szCs w:val="24"/>
        </w:rPr>
        <w:t>. United Nations Conference on Trade and Development.</w:t>
      </w:r>
    </w:p>
    <w:p w14:paraId="6DFE35FF" w14:textId="77777777" w:rsidR="004A7123" w:rsidRPr="007344DD" w:rsidRDefault="004A7123" w:rsidP="007344DD">
      <w:pPr>
        <w:rPr>
          <w:sz w:val="24"/>
          <w:szCs w:val="24"/>
        </w:rPr>
      </w:pPr>
      <w:r w:rsidRPr="007344DD">
        <w:rPr>
          <w:sz w:val="24"/>
          <w:szCs w:val="24"/>
        </w:rPr>
        <w:t xml:space="preserve">UNEP, E. I. (2010). Patents and Clean Energy: Bridging the Gap Between Evidence and Policy: Final Report. </w:t>
      </w:r>
      <w:r w:rsidRPr="007344DD">
        <w:rPr>
          <w:i/>
          <w:iCs/>
          <w:sz w:val="24"/>
          <w:szCs w:val="24"/>
        </w:rPr>
        <w:t>Geneva, Munich: United Nations Environment Programme (UNEP) Economics and Trade Branch, European Patent Office (EPO), International Centre for Trade and Sustainable Development (ICTSD)</w:t>
      </w:r>
      <w:r w:rsidR="008F5583" w:rsidRPr="007344DD">
        <w:rPr>
          <w:sz w:val="24"/>
          <w:szCs w:val="24"/>
        </w:rPr>
        <w:t>.</w:t>
      </w:r>
    </w:p>
    <w:p w14:paraId="4C6A60B0" w14:textId="77777777" w:rsidR="004A7123" w:rsidRPr="007344DD" w:rsidRDefault="004A7123" w:rsidP="007344DD">
      <w:pPr>
        <w:rPr>
          <w:sz w:val="24"/>
          <w:szCs w:val="24"/>
        </w:rPr>
      </w:pPr>
      <w:r w:rsidRPr="007344DD">
        <w:rPr>
          <w:sz w:val="24"/>
          <w:szCs w:val="24"/>
          <w:lang w:val="sv-SE"/>
        </w:rPr>
        <w:t xml:space="preserve">van der Ven, H., Bernstein, S. and Hoffmann, M. (2016). </w:t>
      </w:r>
      <w:r w:rsidRPr="007344DD">
        <w:rPr>
          <w:sz w:val="24"/>
          <w:szCs w:val="24"/>
        </w:rPr>
        <w:t xml:space="preserve">Valuing the Contributions of Nonstate and Subnational Actors to Climate Governance. </w:t>
      </w:r>
      <w:r w:rsidRPr="007344DD">
        <w:rPr>
          <w:i/>
          <w:iCs/>
          <w:sz w:val="24"/>
          <w:szCs w:val="24"/>
        </w:rPr>
        <w:t>Global Environmental Politics</w:t>
      </w:r>
      <w:r w:rsidRPr="007344DD">
        <w:rPr>
          <w:sz w:val="24"/>
          <w:szCs w:val="24"/>
        </w:rPr>
        <w:t>, 17(1). 1–20. DOI:10.1162/GLEP_a_00387.</w:t>
      </w:r>
    </w:p>
    <w:p w14:paraId="280C0CE4" w14:textId="77777777" w:rsidR="004A7123" w:rsidRPr="007344DD" w:rsidRDefault="004A7123" w:rsidP="007344DD">
      <w:pPr>
        <w:rPr>
          <w:sz w:val="24"/>
          <w:szCs w:val="24"/>
        </w:rPr>
      </w:pPr>
      <w:r w:rsidRPr="007344DD">
        <w:rPr>
          <w:sz w:val="24"/>
          <w:szCs w:val="24"/>
        </w:rPr>
        <w:t xml:space="preserve">Visseren-Hamakers, I. J. (2015). Integrative environmental governance: enhancing governance in the era of synergies. </w:t>
      </w:r>
      <w:r w:rsidRPr="007344DD">
        <w:rPr>
          <w:i/>
          <w:iCs/>
          <w:sz w:val="24"/>
          <w:szCs w:val="24"/>
        </w:rPr>
        <w:t>Current Opinion in Environmental Sustainability</w:t>
      </w:r>
      <w:r w:rsidRPr="007344DD">
        <w:rPr>
          <w:sz w:val="24"/>
          <w:szCs w:val="24"/>
        </w:rPr>
        <w:t>, 14. 136–43. DOI:10.1016/j.cosust.2015.05.008.</w:t>
      </w:r>
    </w:p>
    <w:p w14:paraId="71574F35" w14:textId="23220CD8" w:rsidR="004A7123" w:rsidRPr="007344DD" w:rsidRDefault="004A7123" w:rsidP="007344DD">
      <w:pPr>
        <w:rPr>
          <w:sz w:val="24"/>
          <w:szCs w:val="24"/>
        </w:rPr>
      </w:pPr>
      <w:r w:rsidRPr="007344DD">
        <w:rPr>
          <w:sz w:val="24"/>
          <w:szCs w:val="24"/>
        </w:rPr>
        <w:t xml:space="preserve">Weitz, N., Carlsen, H., Nilsson, M. and Skånberg, K. (2017). Towards systemic and contextual priority setting for implementing the 2030 Agenda. </w:t>
      </w:r>
      <w:r w:rsidRPr="007344DD">
        <w:rPr>
          <w:i/>
          <w:iCs/>
          <w:sz w:val="24"/>
          <w:szCs w:val="24"/>
        </w:rPr>
        <w:t>Sustainability Science</w:t>
      </w:r>
      <w:r w:rsidRPr="007344DD">
        <w:rPr>
          <w:sz w:val="24"/>
          <w:szCs w:val="24"/>
        </w:rPr>
        <w:t>,. DOI:10.1007/s11625-017-0470-0.</w:t>
      </w:r>
    </w:p>
    <w:p w14:paraId="3D868FED" w14:textId="77777777" w:rsidR="004A7123" w:rsidRPr="007344DD" w:rsidRDefault="004A7123" w:rsidP="007344DD">
      <w:pPr>
        <w:rPr>
          <w:sz w:val="24"/>
          <w:szCs w:val="24"/>
        </w:rPr>
      </w:pPr>
      <w:r w:rsidRPr="007344DD">
        <w:rPr>
          <w:sz w:val="24"/>
          <w:szCs w:val="24"/>
        </w:rPr>
        <w:t xml:space="preserve">Weitz, N., Strambo, C., Kemp-Benedict, E. and Nilsson, M. (2017). Closing the governance gaps in the water-energy-food nexus: Insights from integrative governance. </w:t>
      </w:r>
      <w:r w:rsidRPr="007344DD">
        <w:rPr>
          <w:i/>
          <w:iCs/>
          <w:sz w:val="24"/>
          <w:szCs w:val="24"/>
        </w:rPr>
        <w:t>Global Environmental Change</w:t>
      </w:r>
      <w:r w:rsidRPr="007344DD">
        <w:rPr>
          <w:sz w:val="24"/>
          <w:szCs w:val="24"/>
        </w:rPr>
        <w:t>, 45. 165–73. DOI:10.1016/j.gloenvcha.2017.06.006.</w:t>
      </w:r>
    </w:p>
    <w:p w14:paraId="6E4C51AF" w14:textId="77777777" w:rsidR="004A7123" w:rsidRPr="007344DD" w:rsidRDefault="004A7123" w:rsidP="007344DD">
      <w:pPr>
        <w:rPr>
          <w:sz w:val="24"/>
          <w:szCs w:val="24"/>
        </w:rPr>
      </w:pPr>
      <w:r w:rsidRPr="007344DD">
        <w:rPr>
          <w:sz w:val="24"/>
          <w:szCs w:val="24"/>
        </w:rPr>
        <w:t xml:space="preserve">Wenar, L. (2015). </w:t>
      </w:r>
      <w:r w:rsidRPr="007344DD">
        <w:rPr>
          <w:i/>
          <w:iCs/>
          <w:sz w:val="24"/>
          <w:szCs w:val="24"/>
        </w:rPr>
        <w:t>Blood Oil: Tyrants, Violence, and the Rules That Run the World</w:t>
      </w:r>
      <w:r w:rsidRPr="007344DD">
        <w:rPr>
          <w:sz w:val="24"/>
          <w:szCs w:val="24"/>
        </w:rPr>
        <w:t>. Oxford University Press.</w:t>
      </w:r>
    </w:p>
    <w:p w14:paraId="00E69792" w14:textId="77777777" w:rsidR="004A7123" w:rsidRPr="007344DD" w:rsidRDefault="004A7123" w:rsidP="007344DD">
      <w:pPr>
        <w:rPr>
          <w:sz w:val="24"/>
          <w:szCs w:val="24"/>
        </w:rPr>
      </w:pPr>
      <w:r w:rsidRPr="007344DD">
        <w:rPr>
          <w:sz w:val="24"/>
          <w:szCs w:val="24"/>
        </w:rPr>
        <w:t xml:space="preserve">Widerberg, O. and Stripple, J. (2016). The expanding field of cooperative initiatives for decarbonization: a review of five databases. </w:t>
      </w:r>
      <w:r w:rsidRPr="007344DD">
        <w:rPr>
          <w:i/>
          <w:iCs/>
          <w:sz w:val="24"/>
          <w:szCs w:val="24"/>
        </w:rPr>
        <w:t>Wiley Interdisciplinary Reviews: Climate Change</w:t>
      </w:r>
      <w:r w:rsidRPr="007344DD">
        <w:rPr>
          <w:sz w:val="24"/>
          <w:szCs w:val="24"/>
        </w:rPr>
        <w:t>, 7(4). 486–500. DOI:10.1002/wcc.396.</w:t>
      </w:r>
    </w:p>
    <w:p w14:paraId="29516C38" w14:textId="77777777" w:rsidR="004A7123" w:rsidRPr="007344DD" w:rsidRDefault="004A7123" w:rsidP="007344DD">
      <w:pPr>
        <w:rPr>
          <w:sz w:val="24"/>
          <w:szCs w:val="24"/>
        </w:rPr>
      </w:pPr>
      <w:r w:rsidRPr="007344DD">
        <w:rPr>
          <w:sz w:val="24"/>
          <w:szCs w:val="24"/>
        </w:rPr>
        <w:t xml:space="preserve">Yakovleva, N. (2017). </w:t>
      </w:r>
      <w:r w:rsidRPr="007344DD">
        <w:rPr>
          <w:i/>
          <w:iCs/>
          <w:sz w:val="24"/>
          <w:szCs w:val="24"/>
        </w:rPr>
        <w:t>Corporate Social Responsibility in the Mining Industries</w:t>
      </w:r>
      <w:r w:rsidRPr="007344DD">
        <w:rPr>
          <w:sz w:val="24"/>
          <w:szCs w:val="24"/>
        </w:rPr>
        <w:t>. Routledge.</w:t>
      </w:r>
    </w:p>
    <w:p w14:paraId="56959563" w14:textId="77777777" w:rsidR="006B7262" w:rsidRPr="00096A22" w:rsidRDefault="00C87A9C">
      <w:r w:rsidRPr="00AA38F3">
        <w:lastRenderedPageBreak/>
        <w:fldChar w:fldCharType="end"/>
      </w:r>
    </w:p>
    <w:sectPr w:rsidR="006B7262" w:rsidRPr="00096A22" w:rsidSect="004833EF">
      <w:headerReference w:type="default" r:id="rId9"/>
      <w:footerReference w:type="default" r:id="rId10"/>
      <w:footerReference w:type="first" r:id="rId11"/>
      <w:endnotePr>
        <w:numFmt w:val="decimal"/>
      </w:endnotePr>
      <w:pgSz w:w="11901" w:h="16840"/>
      <w:pgMar w:top="1871" w:right="907"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ADBFA" w14:textId="77777777" w:rsidR="0000333D" w:rsidRDefault="0000333D" w:rsidP="00300305"/>
  </w:endnote>
  <w:endnote w:type="continuationSeparator" w:id="0">
    <w:p w14:paraId="2DF8EAF8" w14:textId="77777777" w:rsidR="0000333D" w:rsidRDefault="0000333D" w:rsidP="0030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Light (Theme Headings)">
    <w:altName w:val="Calibri Light"/>
    <w:panose1 w:val="020B0604020202020204"/>
    <w:charset w:val="00"/>
    <w:family w:val="swiss"/>
    <w:pitch w:val="variable"/>
    <w:sig w:usb0="A00002EF" w:usb1="4000207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New Roman (Headings CS)">
    <w:altName w:val="Times New Roman"/>
    <w:panose1 w:val="02020603050405020304"/>
    <w:charset w:val="00"/>
    <w:family w:val="roman"/>
    <w:pitch w:val="variable"/>
    <w:sig w:usb0="E0002AFF" w:usb1="C0007841" w:usb2="00000009" w:usb3="00000000" w:csb0="000001FF" w:csb1="00000000"/>
  </w:font>
  <w:font w:name="Calibre-Semibold">
    <w:altName w:val="Cambria"/>
    <w:panose1 w:val="020B0703030202060203"/>
    <w:charset w:val="4D"/>
    <w:family w:val="swiss"/>
    <w:notTrueType/>
    <w:pitch w:val="variable"/>
    <w:sig w:usb0="00000007" w:usb1="00000000" w:usb2="00000000" w:usb3="00000000" w:csb0="00000093" w:csb1="00000000"/>
  </w:font>
  <w:font w:name="Times">
    <w:panose1 w:val="00000500000000020000"/>
    <w:charset w:val="00"/>
    <w:family w:val="auto"/>
    <w:pitch w:val="variable"/>
    <w:sig w:usb0="E00002FF" w:usb1="5000205A" w:usb2="00000000" w:usb3="00000000" w:csb0="0000019F" w:csb1="00000000"/>
  </w:font>
  <w:font w:name="Times New Roman (Body CS)">
    <w:altName w:val="Times New Roman"/>
    <w:panose1 w:val="02020603050405020304"/>
    <w:charset w:val="00"/>
    <w:family w:val="roman"/>
    <w:pitch w:val="variable"/>
    <w:sig w:usb0="E0002AFF" w:usb1="C0007841" w:usb2="00000009" w:usb3="00000000" w:csb0="000001FF" w:csb1="00000000"/>
  </w:font>
  <w:font w:name="Calibre-Regular">
    <w:altName w:val="Cambria"/>
    <w:panose1 w:val="020B0503030202060203"/>
    <w:charset w:val="4D"/>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56950417"/>
      <w:docPartObj>
        <w:docPartGallery w:val="Page Numbers (Bottom of Page)"/>
        <w:docPartUnique/>
      </w:docPartObj>
    </w:sdtPr>
    <w:sdtEndPr>
      <w:rPr>
        <w:rStyle w:val="PageNumber"/>
      </w:rPr>
    </w:sdtEndPr>
    <w:sdtContent>
      <w:p w14:paraId="71F78D8D" w14:textId="77777777" w:rsidR="00414A98" w:rsidRDefault="00414A98" w:rsidP="006678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40FE5A6D" w14:textId="77777777" w:rsidR="00414A98" w:rsidRDefault="00414A98" w:rsidP="004D25F3">
    <w:pPr>
      <w:pStyle w:val="Footer"/>
      <w:ind w:left="426" w:firstLine="360"/>
    </w:pPr>
    <w:r>
      <w:rPr>
        <w:noProof/>
        <w:lang w:eastAsia="en-GB"/>
      </w:rPr>
      <mc:AlternateContent>
        <mc:Choice Requires="wps">
          <w:drawing>
            <wp:anchor distT="0" distB="0" distL="114300" distR="114300" simplePos="0" relativeHeight="251692032" behindDoc="0" locked="0" layoutInCell="1" allowOverlap="1" wp14:anchorId="4A7EFEDD" wp14:editId="050450B6">
              <wp:simplePos x="0" y="0"/>
              <wp:positionH relativeFrom="margin">
                <wp:posOffset>-809625</wp:posOffset>
              </wp:positionH>
              <wp:positionV relativeFrom="paragraph">
                <wp:posOffset>135078</wp:posOffset>
              </wp:positionV>
              <wp:extent cx="6372000" cy="4445"/>
              <wp:effectExtent l="0" t="0" r="29210" b="46355"/>
              <wp:wrapNone/>
              <wp:docPr id="8" name="Straight Connector 8"/>
              <wp:cNvGraphicFramePr/>
              <a:graphic xmlns:a="http://schemas.openxmlformats.org/drawingml/2006/main">
                <a:graphicData uri="http://schemas.microsoft.com/office/word/2010/wordprocessingShape">
                  <wps:wsp>
                    <wps:cNvCnPr/>
                    <wps:spPr>
                      <a:xfrm>
                        <a:off x="0" y="0"/>
                        <a:ext cx="6372000" cy="4445"/>
                      </a:xfrm>
                      <a:prstGeom prst="line">
                        <a:avLst/>
                      </a:prstGeom>
                      <a:ln w="12700" cmpd="sng">
                        <a:solidFill>
                          <a:srgbClr val="00D29A"/>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22484E76" id="Straight Connector 8"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3.75pt,10.65pt" to="4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" strokecolor="#00d29a" strokeweight="1pt">
              <v:stroke joinstyle="miter"/>
              <w10:wrap anchorx="margin"/>
            </v:line>
          </w:pict>
        </mc:Fallback>
      </mc:AlternateContent>
    </w:r>
  </w:p>
  <w:p w14:paraId="78DFD957" w14:textId="2023B0ED" w:rsidR="00414A98" w:rsidRDefault="00414A98" w:rsidP="002366C2">
    <w:pPr>
      <w:pStyle w:val="Footer"/>
      <w:ind w:left="-1134"/>
      <w:rPr>
        <w:lang w:eastAsia="en-GB"/>
      </w:rPr>
    </w:pPr>
    <w:r w:rsidRPr="00B11F0B">
      <w:rPr>
        <w:sz w:val="20"/>
      </w:rPr>
      <w:t>SDG 17</w:t>
    </w:r>
    <w:r>
      <w:rPr>
        <w:sz w:val="20"/>
      </w:rPr>
      <w:t>:</w:t>
    </w:r>
    <w:r w:rsidRPr="00B11F0B">
      <w:rPr>
        <w:sz w:val="20"/>
      </w:rPr>
      <w:t xml:space="preserve"> </w:t>
    </w:r>
    <w:r>
      <w:rPr>
        <w:sz w:val="20"/>
      </w:rPr>
      <w:t>Partnerships for the Goals. A review of research needs</w:t>
    </w:r>
    <w:r>
      <w:rPr>
        <w:noProof/>
        <w:lang w:val="en-US"/>
      </w:rPr>
      <w:tab/>
    </w:r>
    <w:r>
      <w:rPr>
        <w:noProof/>
        <w:lang w:val="en-US"/>
      </w:rPr>
      <w:tab/>
    </w:r>
    <w:r>
      <w:rPr>
        <w:noProof/>
        <w:lang w:val="en-US"/>
      </w:rPr>
      <w:fldChar w:fldCharType="begin"/>
    </w:r>
    <w:r>
      <w:rPr>
        <w:noProof/>
        <w:lang w:val="en-US"/>
      </w:rPr>
      <w:instrText xml:space="preserve"> PAGE  \* Arabic  \* MERGEFORMAT </w:instrText>
    </w:r>
    <w:r>
      <w:rPr>
        <w:noProof/>
        <w:lang w:val="en-US"/>
      </w:rPr>
      <w:fldChar w:fldCharType="separate"/>
    </w:r>
    <w:r>
      <w:rPr>
        <w:noProof/>
        <w:lang w:val="en-US"/>
      </w:rPr>
      <w:t>29</w:t>
    </w:r>
    <w:r>
      <w:rPr>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981166"/>
      <w:docPartObj>
        <w:docPartGallery w:val="Page Numbers (Bottom of Page)"/>
        <w:docPartUnique/>
      </w:docPartObj>
    </w:sdtPr>
    <w:sdtEndPr>
      <w:rPr>
        <w:rStyle w:val="PageNumber"/>
      </w:rPr>
    </w:sdtEndPr>
    <w:sdtContent>
      <w:p w14:paraId="63E791C5" w14:textId="77777777" w:rsidR="00414A98" w:rsidRDefault="00414A98" w:rsidP="003742F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45D00CA1" w14:textId="77777777" w:rsidR="00414A98" w:rsidRDefault="00414A98" w:rsidP="008C5C7E">
    <w:pPr>
      <w:pStyle w:val="Footer"/>
      <w:ind w:left="426" w:firstLine="360"/>
    </w:pPr>
    <w:r>
      <w:rPr>
        <w:noProof/>
        <w:lang w:eastAsia="en-GB"/>
      </w:rPr>
      <mc:AlternateContent>
        <mc:Choice Requires="wps">
          <w:drawing>
            <wp:anchor distT="0" distB="0" distL="114300" distR="114300" simplePos="0" relativeHeight="251689984" behindDoc="0" locked="0" layoutInCell="1" allowOverlap="1" wp14:anchorId="1199033A" wp14:editId="361D88E2">
              <wp:simplePos x="0" y="0"/>
              <wp:positionH relativeFrom="margin">
                <wp:posOffset>-821690</wp:posOffset>
              </wp:positionH>
              <wp:positionV relativeFrom="paragraph">
                <wp:posOffset>112074</wp:posOffset>
              </wp:positionV>
              <wp:extent cx="6372000" cy="4445"/>
              <wp:effectExtent l="0" t="0" r="29210" b="46355"/>
              <wp:wrapNone/>
              <wp:docPr id="6" name="Straight Connector 6"/>
              <wp:cNvGraphicFramePr/>
              <a:graphic xmlns:a="http://schemas.openxmlformats.org/drawingml/2006/main">
                <a:graphicData uri="http://schemas.microsoft.com/office/word/2010/wordprocessingShape">
                  <wps:wsp>
                    <wps:cNvCnPr/>
                    <wps:spPr>
                      <a:xfrm>
                        <a:off x="0" y="0"/>
                        <a:ext cx="6372000" cy="4445"/>
                      </a:xfrm>
                      <a:prstGeom prst="line">
                        <a:avLst/>
                      </a:prstGeom>
                      <a:ln w="12700" cmpd="sng">
                        <a:solidFill>
                          <a:srgbClr val="00D29A"/>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6CFF7422" id="Straight Connector 6" o:spid="_x0000_s1026"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4.7pt,8.8pt" to="437.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" strokecolor="#00d29a" strokeweight="1pt">
              <v:stroke joinstyle="miter"/>
              <w10:wrap anchorx="margin"/>
            </v:line>
          </w:pict>
        </mc:Fallback>
      </mc:AlternateContent>
    </w:r>
  </w:p>
  <w:p w14:paraId="59816310" w14:textId="77777777" w:rsidR="00414A98" w:rsidRDefault="00414A98" w:rsidP="003742FA">
    <w:pPr>
      <w:pStyle w:val="Footer"/>
      <w:tabs>
        <w:tab w:val="clear" w:pos="4320"/>
        <w:tab w:val="clear" w:pos="8640"/>
      </w:tabs>
      <w:ind w:left="-1134" w:firstLine="141"/>
    </w:pPr>
    <w:r>
      <w:t>Title of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547BC" w14:textId="77777777" w:rsidR="0000333D" w:rsidRDefault="0000333D" w:rsidP="00300305">
      <w:r>
        <w:separator/>
      </w:r>
    </w:p>
  </w:footnote>
  <w:footnote w:type="continuationSeparator" w:id="0">
    <w:p w14:paraId="49F156CC" w14:textId="77777777" w:rsidR="0000333D" w:rsidRDefault="0000333D" w:rsidP="00300305">
      <w:r>
        <w:continuationSeparator/>
      </w:r>
    </w:p>
  </w:footnote>
  <w:footnote w:id="1">
    <w:p w14:paraId="26192483" w14:textId="12F244E8" w:rsidR="00414A98" w:rsidRPr="005A36B6" w:rsidRDefault="00414A98" w:rsidP="00667874">
      <w:pPr>
        <w:pStyle w:val="FootnoteText"/>
        <w:rPr>
          <w:lang w:val="en-US"/>
        </w:rPr>
      </w:pPr>
      <w:r w:rsidRPr="00FE1BFF">
        <w:rPr>
          <w:rStyle w:val="FootnoteReference"/>
        </w:rPr>
        <w:footnoteRef/>
      </w:r>
      <w:r>
        <w:rPr>
          <w:rStyle w:val="FootnoteReference"/>
        </w:rPr>
        <w:footnoteRef/>
      </w:r>
      <w:r w:rsidRPr="005A36B6">
        <w:rPr>
          <w:lang w:val="en-US"/>
        </w:rPr>
        <w:t xml:space="preserve"> It should be noted that a recent literature finds that there remains no consensus on the EKC hypothesis</w:t>
      </w:r>
      <w:r>
        <w:rPr>
          <w:lang w:val="en-US"/>
        </w:rPr>
        <w:t xml:space="preserve"> </w:t>
      </w:r>
      <w:r>
        <w:rPr>
          <w:lang w:val="en-US"/>
        </w:rPr>
        <w:fldChar w:fldCharType="begin"/>
      </w:r>
      <w:r>
        <w:rPr>
          <w:lang w:val="en-US"/>
        </w:rPr>
        <w:instrText xml:space="preserve"> ADDIN ZOTERO_ITEM CSL_CITATION {"citationID":"a1q719ijdk6","properties":{"formattedCitation":"(Tiba et al. 2016)","plainCitation":"(Tiba et al. 2016)","noteIndex":1},"citationItems":[{"id":"GGZNlT61/EkOiXUsx","uris":["http://zotero.org/users/4803578/items/537V495E"],"uri":["http://zotero.org/users/4803578/items/537V495E"],"itemData":{"id":102,"type":"article-journal","title":"The four-way linkages between renewable energy, environmental quality, trade and economic growth: a comparative analysis between high and middle-income countries","container-title":"Energy Systems","page":"103–144","volume":"7","issue":"1","source":"Google Scholar","shortTitle":"The four-way linkages between renewable energy, environmental quality, trade and economic growth","author":[{"family":"Tiba","given":"Sofien"},{"family":"Omri","given":"Anis"},{"family":"Frikha","given":"Mohamed"}],"issued":{"date-parts":[["2016"]]}}}],"schema":"https://github.com/citation-style-language/schema/raw/master/csl-citation.json"} </w:instrText>
      </w:r>
      <w:r>
        <w:rPr>
          <w:lang w:val="en-US"/>
        </w:rPr>
        <w:fldChar w:fldCharType="separate"/>
      </w:r>
      <w:r w:rsidRPr="007344DD">
        <w:rPr>
          <w:rFonts w:ascii="Calibri" w:hAnsi="Calibri" w:cs="Calibri"/>
        </w:rPr>
        <w:t>(Tiba et al. 2016)</w:t>
      </w:r>
      <w:r>
        <w:rPr>
          <w:lang w:val="en-US"/>
        </w:rPr>
        <w:fldChar w:fldCharType="end"/>
      </w:r>
      <w:r>
        <w:rPr>
          <w:lang w:val="en-US"/>
        </w:rPr>
        <w:t>.</w:t>
      </w:r>
      <w:r w:rsidRPr="005A36B6">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60D5" w14:textId="77777777" w:rsidR="00414A98" w:rsidRPr="00BF3679" w:rsidRDefault="00414A98" w:rsidP="004610E3">
    <w:pPr>
      <w:pStyle w:val="PagerunningheadLeftPagefurniture"/>
      <w:ind w:left="-1134" w:firstLine="0"/>
    </w:pPr>
    <w:r w:rsidRPr="00BF3679">
      <w:rPr>
        <w:noProof/>
        <w:lang w:eastAsia="en-GB"/>
      </w:rPr>
      <mc:AlternateContent>
        <mc:Choice Requires="wps">
          <w:drawing>
            <wp:anchor distT="0" distB="0" distL="114300" distR="114300" simplePos="0" relativeHeight="251696128" behindDoc="0" locked="0" layoutInCell="1" allowOverlap="1" wp14:anchorId="690ECDB5" wp14:editId="77F69A01">
              <wp:simplePos x="0" y="0"/>
              <wp:positionH relativeFrom="margin">
                <wp:posOffset>-821802</wp:posOffset>
              </wp:positionH>
              <wp:positionV relativeFrom="paragraph">
                <wp:posOffset>481040</wp:posOffset>
              </wp:positionV>
              <wp:extent cx="6372000" cy="0"/>
              <wp:effectExtent l="0" t="0" r="29210" b="25400"/>
              <wp:wrapNone/>
              <wp:docPr id="10" name="Straight Connector 10"/>
              <wp:cNvGraphicFramePr/>
              <a:graphic xmlns:a="http://schemas.openxmlformats.org/drawingml/2006/main">
                <a:graphicData uri="http://schemas.microsoft.com/office/word/2010/wordprocessingShape">
                  <wps:wsp>
                    <wps:cNvCnPr/>
                    <wps:spPr>
                      <a:xfrm>
                        <a:off x="0" y="0"/>
                        <a:ext cx="6372000" cy="0"/>
                      </a:xfrm>
                      <a:prstGeom prst="line">
                        <a:avLst/>
                      </a:prstGeom>
                      <a:ln w="12700" cmpd="sng">
                        <a:solidFill>
                          <a:srgbClr val="00D29A"/>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3F79906D" id="Straight Connector 10" o:spid="_x0000_s1026"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4.7pt,37.9pt" to="437.0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" strokecolor="#00d29a" strokeweight="1pt">
              <v:stroke joinstyle="miter"/>
              <w10:wrap anchorx="margin"/>
            </v:line>
          </w:pict>
        </mc:Fallback>
      </mc:AlternateContent>
    </w:r>
    <w:r w:rsidRPr="00BF3679">
      <w:t>Stockholm Environment Institute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A0E8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CCED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C2E4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520EC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FCE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3663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88FE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40D9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EA66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DC0A64"/>
    <w:lvl w:ilvl="0">
      <w:start w:val="1"/>
      <w:numFmt w:val="bullet"/>
      <w:pStyle w:val="ListBullet"/>
      <w:lvlText w:val="•"/>
      <w:lvlJc w:val="left"/>
      <w:pPr>
        <w:ind w:left="2912" w:hanging="360"/>
      </w:pPr>
      <w:rPr>
        <w:rFonts w:ascii="Calibri" w:hAnsi="Calibri" w:cs="Times New Roman" w:hint="default"/>
        <w:b w:val="0"/>
        <w:bCs w:val="0"/>
        <w:i w:val="0"/>
        <w:iCs w:val="0"/>
        <w:color w:val="303B41" w:themeColor="text2"/>
        <w:position w:val="0"/>
        <w:sz w:val="20"/>
        <w:szCs w:val="20"/>
        <w:u w:val="none"/>
      </w:rPr>
    </w:lvl>
  </w:abstractNum>
  <w:abstractNum w:abstractNumId="10" w15:restartNumberingAfterBreak="0">
    <w:nsid w:val="00FA17FD"/>
    <w:multiLevelType w:val="hybridMultilevel"/>
    <w:tmpl w:val="0F349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2180F84"/>
    <w:multiLevelType w:val="multilevel"/>
    <w:tmpl w:val="13F02440"/>
    <w:lvl w:ilvl="0">
      <w:start w:val="1"/>
      <w:numFmt w:val="decimal"/>
      <w:lvlText w:val="%1."/>
      <w:lvlJc w:val="left"/>
      <w:pPr>
        <w:ind w:left="1134" w:firstLine="284"/>
      </w:pPr>
      <w:rPr>
        <w:rFonts w:ascii="Calibri" w:hAnsi="Calibri" w:hint="default"/>
        <w:b/>
        <w:bCs/>
        <w:i w:val="0"/>
        <w:iCs w:val="0"/>
        <w:color w:val="303B41" w:themeColor="text2"/>
        <w:sz w:val="22"/>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12" w15:restartNumberingAfterBreak="0">
    <w:nsid w:val="0364556A"/>
    <w:multiLevelType w:val="multilevel"/>
    <w:tmpl w:val="9A5A0400"/>
    <w:lvl w:ilvl="0">
      <w:start w:val="1"/>
      <w:numFmt w:val="decimal"/>
      <w:lvlText w:val="%1."/>
      <w:lvlJc w:val="left"/>
      <w:pPr>
        <w:tabs>
          <w:tab w:val="num" w:pos="1418"/>
        </w:tabs>
        <w:ind w:left="1418" w:hanging="284"/>
      </w:pPr>
      <w:rPr>
        <w:rFonts w:ascii="Calibri" w:hAnsi="Calibri" w:hint="default"/>
        <w:b/>
        <w:bCs/>
        <w:i w:val="0"/>
        <w:iCs w:val="0"/>
        <w:color w:val="303B41" w:themeColor="text2"/>
        <w:sz w:val="22"/>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13" w15:restartNumberingAfterBreak="0">
    <w:nsid w:val="03C07A08"/>
    <w:multiLevelType w:val="multilevel"/>
    <w:tmpl w:val="A03CC8D6"/>
    <w:lvl w:ilvl="0">
      <w:start w:val="1"/>
      <w:numFmt w:val="decimal"/>
      <w:lvlText w:val="%1."/>
      <w:lvlJc w:val="left"/>
      <w:pPr>
        <w:tabs>
          <w:tab w:val="num" w:pos="1531"/>
        </w:tabs>
        <w:ind w:left="1531" w:hanging="113"/>
      </w:pPr>
      <w:rPr>
        <w:rFonts w:ascii="Calibri" w:hAnsi="Calibri" w:hint="default"/>
        <w:b/>
        <w:bCs/>
        <w:i w:val="0"/>
        <w:iCs w:val="0"/>
        <w:color w:val="303B41" w:themeColor="text2"/>
        <w:sz w:val="22"/>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14" w15:restartNumberingAfterBreak="0">
    <w:nsid w:val="04AE3C79"/>
    <w:multiLevelType w:val="hybridMultilevel"/>
    <w:tmpl w:val="6E28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4E1639B"/>
    <w:multiLevelType w:val="multilevel"/>
    <w:tmpl w:val="717E76E2"/>
    <w:lvl w:ilvl="0">
      <w:start w:val="1"/>
      <w:numFmt w:val="decimal"/>
      <w:lvlText w:val="%1."/>
      <w:lvlJc w:val="left"/>
      <w:pPr>
        <w:ind w:left="2912" w:hanging="360"/>
      </w:pPr>
      <w:rPr>
        <w:rFonts w:ascii="Calibri" w:hAnsi="Calibri" w:hint="default"/>
        <w:b/>
        <w:bCs/>
        <w:i w:val="0"/>
        <w:iCs w:val="0"/>
        <w:color w:val="303B41" w:themeColor="text2"/>
        <w:sz w:val="22"/>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16" w15:restartNumberingAfterBreak="0">
    <w:nsid w:val="06FA5716"/>
    <w:multiLevelType w:val="multilevel"/>
    <w:tmpl w:val="15387D20"/>
    <w:lvl w:ilvl="0">
      <w:start w:val="1"/>
      <w:numFmt w:val="decimal"/>
      <w:lvlText w:val="%1."/>
      <w:lvlJc w:val="left"/>
      <w:pPr>
        <w:tabs>
          <w:tab w:val="num" w:pos="1588"/>
        </w:tabs>
        <w:ind w:left="1588" w:hanging="170"/>
      </w:pPr>
      <w:rPr>
        <w:rFonts w:ascii="Calibri" w:hAnsi="Calibri" w:hint="default"/>
        <w:b/>
        <w:bCs/>
        <w:i w:val="0"/>
        <w:iCs w:val="0"/>
        <w:color w:val="303B41" w:themeColor="text2"/>
        <w:sz w:val="22"/>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17" w15:restartNumberingAfterBreak="0">
    <w:nsid w:val="15BE4DE7"/>
    <w:multiLevelType w:val="multilevel"/>
    <w:tmpl w:val="F6CCBA52"/>
    <w:lvl w:ilvl="0">
      <w:start w:val="1"/>
      <w:numFmt w:val="decimal"/>
      <w:lvlText w:val="%1."/>
      <w:lvlJc w:val="left"/>
      <w:pPr>
        <w:ind w:left="1418" w:firstLine="0"/>
      </w:pPr>
      <w:rPr>
        <w:rFonts w:ascii="Calibri" w:hAnsi="Calibri" w:hint="default"/>
        <w:b/>
        <w:bCs/>
        <w:i w:val="0"/>
        <w:iCs w:val="0"/>
        <w:color w:val="303B41" w:themeColor="text2"/>
        <w:sz w:val="22"/>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18" w15:restartNumberingAfterBreak="0">
    <w:nsid w:val="1ADE7D50"/>
    <w:multiLevelType w:val="hybridMultilevel"/>
    <w:tmpl w:val="51B63C9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1B623E35"/>
    <w:multiLevelType w:val="multilevel"/>
    <w:tmpl w:val="D062C2F2"/>
    <w:lvl w:ilvl="0">
      <w:start w:val="1"/>
      <w:numFmt w:val="decimal"/>
      <w:lvlText w:val="%1."/>
      <w:lvlJc w:val="left"/>
      <w:pPr>
        <w:tabs>
          <w:tab w:val="num" w:pos="1531"/>
        </w:tabs>
        <w:ind w:left="1418" w:firstLine="0"/>
      </w:pPr>
      <w:rPr>
        <w:rFonts w:ascii="Calibri" w:hAnsi="Calibri" w:hint="default"/>
        <w:b/>
        <w:bCs/>
        <w:i w:val="0"/>
        <w:iCs w:val="0"/>
        <w:color w:val="303B41" w:themeColor="text2"/>
        <w:sz w:val="22"/>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20" w15:restartNumberingAfterBreak="0">
    <w:nsid w:val="1C7A1A9A"/>
    <w:multiLevelType w:val="hybridMultilevel"/>
    <w:tmpl w:val="7CCAEB7C"/>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1" w15:restartNumberingAfterBreak="0">
    <w:nsid w:val="1DCC5062"/>
    <w:multiLevelType w:val="hybridMultilevel"/>
    <w:tmpl w:val="0DE8D1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1DD93360"/>
    <w:multiLevelType w:val="hybridMultilevel"/>
    <w:tmpl w:val="6C3C9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E364646"/>
    <w:multiLevelType w:val="multilevel"/>
    <w:tmpl w:val="8E025CC6"/>
    <w:lvl w:ilvl="0">
      <w:start w:val="1"/>
      <w:numFmt w:val="decimal"/>
      <w:lvlText w:val="%1."/>
      <w:lvlJc w:val="left"/>
      <w:pPr>
        <w:ind w:left="0" w:firstLine="1418"/>
      </w:pPr>
      <w:rPr>
        <w:rFonts w:ascii="Calibri" w:hAnsi="Calibri" w:hint="default"/>
        <w:b/>
        <w:bCs/>
        <w:i w:val="0"/>
        <w:iCs w:val="0"/>
        <w:color w:val="303B41" w:themeColor="text2"/>
        <w:sz w:val="22"/>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24" w15:restartNumberingAfterBreak="0">
    <w:nsid w:val="1EDF75EA"/>
    <w:multiLevelType w:val="multilevel"/>
    <w:tmpl w:val="5ECEA308"/>
    <w:lvl w:ilvl="0">
      <w:start w:val="1"/>
      <w:numFmt w:val="decimal"/>
      <w:lvlText w:val="%1."/>
      <w:lvlJc w:val="left"/>
      <w:pPr>
        <w:tabs>
          <w:tab w:val="num" w:pos="1418"/>
        </w:tabs>
        <w:ind w:left="1418" w:firstLine="0"/>
      </w:pPr>
      <w:rPr>
        <w:rFonts w:ascii="Calibri" w:hAnsi="Calibri" w:hint="default"/>
        <w:b/>
        <w:bCs/>
        <w:i w:val="0"/>
        <w:iCs w:val="0"/>
        <w:color w:val="303B41" w:themeColor="text2"/>
        <w:sz w:val="22"/>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25" w15:restartNumberingAfterBreak="0">
    <w:nsid w:val="2B372398"/>
    <w:multiLevelType w:val="hybridMultilevel"/>
    <w:tmpl w:val="8F06511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2F99351A"/>
    <w:multiLevelType w:val="multilevel"/>
    <w:tmpl w:val="18909310"/>
    <w:lvl w:ilvl="0">
      <w:start w:val="1"/>
      <w:numFmt w:val="decimal"/>
      <w:lvlText w:val="%1."/>
      <w:lvlJc w:val="left"/>
      <w:pPr>
        <w:ind w:left="1531" w:hanging="113"/>
      </w:pPr>
      <w:rPr>
        <w:rFonts w:ascii="Calibri" w:hAnsi="Calibri" w:hint="default"/>
        <w:b/>
        <w:bCs/>
        <w:i w:val="0"/>
        <w:iCs w:val="0"/>
        <w:color w:val="303B41" w:themeColor="text2"/>
        <w:sz w:val="22"/>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27" w15:restartNumberingAfterBreak="0">
    <w:nsid w:val="3C8B5A53"/>
    <w:multiLevelType w:val="multilevel"/>
    <w:tmpl w:val="08E82DFC"/>
    <w:lvl w:ilvl="0">
      <w:start w:val="1"/>
      <w:numFmt w:val="decimal"/>
      <w:lvlText w:val="%1."/>
      <w:lvlJc w:val="left"/>
      <w:pPr>
        <w:ind w:left="1588" w:hanging="170"/>
      </w:pPr>
      <w:rPr>
        <w:rFonts w:ascii="Calibri" w:hAnsi="Calibri" w:hint="default"/>
        <w:b/>
        <w:bCs/>
        <w:i w:val="0"/>
        <w:iCs w:val="0"/>
        <w:color w:val="303B41" w:themeColor="text2"/>
        <w:sz w:val="22"/>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28" w15:restartNumberingAfterBreak="0">
    <w:nsid w:val="3D5060EB"/>
    <w:multiLevelType w:val="hybridMultilevel"/>
    <w:tmpl w:val="D15678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0443F00"/>
    <w:multiLevelType w:val="multilevel"/>
    <w:tmpl w:val="9FBEEDD8"/>
    <w:lvl w:ilvl="0">
      <w:start w:val="1"/>
      <w:numFmt w:val="decimal"/>
      <w:lvlText w:val="%1."/>
      <w:lvlJc w:val="left"/>
      <w:pPr>
        <w:ind w:left="2912" w:hanging="360"/>
      </w:pPr>
      <w:rPr>
        <w:rFonts w:asciiTheme="majorHAnsi" w:hAnsiTheme="majorHAnsi" w:hint="default"/>
        <w:b/>
        <w:bCs/>
        <w:i w:val="0"/>
        <w:iCs w:val="0"/>
        <w:color w:val="00D29A" w:themeColor="background2"/>
        <w:sz w:val="18"/>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30" w15:restartNumberingAfterBreak="0">
    <w:nsid w:val="417B4D37"/>
    <w:multiLevelType w:val="hybridMultilevel"/>
    <w:tmpl w:val="D9E60D80"/>
    <w:lvl w:ilvl="0" w:tplc="068A30A6">
      <w:start w:val="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8B3D7B"/>
    <w:multiLevelType w:val="hybridMultilevel"/>
    <w:tmpl w:val="C6682E04"/>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32" w15:restartNumberingAfterBreak="0">
    <w:nsid w:val="41DC57F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2640784"/>
    <w:multiLevelType w:val="hybridMultilevel"/>
    <w:tmpl w:val="192A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91D82"/>
    <w:multiLevelType w:val="hybridMultilevel"/>
    <w:tmpl w:val="C3BCA3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8F5655C"/>
    <w:multiLevelType w:val="hybridMultilevel"/>
    <w:tmpl w:val="692E923E"/>
    <w:lvl w:ilvl="0" w:tplc="751649E0">
      <w:start w:val="1"/>
      <w:numFmt w:val="decimal"/>
      <w:pStyle w:val="ListParagraph"/>
      <w:lvlText w:val="%1."/>
      <w:lvlJc w:val="left"/>
      <w:pPr>
        <w:ind w:left="1418" w:hanging="1418"/>
      </w:pPr>
      <w:rPr>
        <w:rFonts w:ascii="Calibri" w:hAnsi="Calibri" w:hint="default"/>
        <w:b/>
        <w:bCs/>
        <w:i w:val="0"/>
        <w:iCs w:val="0"/>
        <w:color w:val="303B41" w:themeColor="text2"/>
        <w:sz w:val="22"/>
        <w:szCs w:val="18"/>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6" w15:restartNumberingAfterBreak="0">
    <w:nsid w:val="5C3A60D8"/>
    <w:multiLevelType w:val="hybridMultilevel"/>
    <w:tmpl w:val="106C652C"/>
    <w:lvl w:ilvl="0" w:tplc="C05AB5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FE6F77"/>
    <w:multiLevelType w:val="hybridMultilevel"/>
    <w:tmpl w:val="D488EAF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645D0281"/>
    <w:multiLevelType w:val="hybridMultilevel"/>
    <w:tmpl w:val="5DE6DC2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D02E10"/>
    <w:multiLevelType w:val="multilevel"/>
    <w:tmpl w:val="FEC68CE8"/>
    <w:lvl w:ilvl="0">
      <w:start w:val="1"/>
      <w:numFmt w:val="decimal"/>
      <w:lvlText w:val="%1."/>
      <w:lvlJc w:val="left"/>
      <w:pPr>
        <w:ind w:left="2911" w:hanging="360"/>
      </w:pPr>
      <w:rPr>
        <w:rFonts w:asciiTheme="majorHAnsi" w:hAnsiTheme="majorHAnsi" w:hint="default"/>
        <w:b/>
        <w:bCs/>
        <w:i w:val="0"/>
        <w:iCs w:val="0"/>
        <w:color w:val="303B41" w:themeColor="text2"/>
        <w:sz w:val="18"/>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40" w15:restartNumberingAfterBreak="0">
    <w:nsid w:val="6DC26B39"/>
    <w:multiLevelType w:val="hybridMultilevel"/>
    <w:tmpl w:val="57F254DA"/>
    <w:lvl w:ilvl="0" w:tplc="0652F80A">
      <w:numFmt w:val="bullet"/>
      <w:lvlText w:val="-"/>
      <w:lvlJc w:val="left"/>
      <w:pPr>
        <w:ind w:left="1778" w:hanging="360"/>
      </w:pPr>
      <w:rPr>
        <w:rFonts w:ascii="Calibri" w:eastAsiaTheme="minorEastAsia" w:hAnsi="Calibri" w:cstheme="minorBidi"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1" w15:restartNumberingAfterBreak="0">
    <w:nsid w:val="6EA8058A"/>
    <w:multiLevelType w:val="hybridMultilevel"/>
    <w:tmpl w:val="768E8B0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6F556B7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06F263D"/>
    <w:multiLevelType w:val="hybridMultilevel"/>
    <w:tmpl w:val="6728052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4" w15:restartNumberingAfterBreak="0">
    <w:nsid w:val="74E0116C"/>
    <w:multiLevelType w:val="multilevel"/>
    <w:tmpl w:val="B9E63A0E"/>
    <w:lvl w:ilvl="0">
      <w:start w:val="1"/>
      <w:numFmt w:val="decimal"/>
      <w:lvlText w:val="%1."/>
      <w:lvlJc w:val="left"/>
      <w:pPr>
        <w:ind w:left="1588" w:hanging="170"/>
      </w:pPr>
      <w:rPr>
        <w:rFonts w:ascii="Calibri" w:hAnsi="Calibri" w:hint="default"/>
        <w:b/>
        <w:bCs/>
        <w:i w:val="0"/>
        <w:iCs w:val="0"/>
        <w:color w:val="303B41" w:themeColor="text2"/>
        <w:sz w:val="22"/>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45" w15:restartNumberingAfterBreak="0">
    <w:nsid w:val="77F65971"/>
    <w:multiLevelType w:val="multilevel"/>
    <w:tmpl w:val="837CD498"/>
    <w:lvl w:ilvl="0">
      <w:start w:val="1"/>
      <w:numFmt w:val="decimal"/>
      <w:lvlText w:val="%1."/>
      <w:lvlJc w:val="left"/>
      <w:pPr>
        <w:ind w:left="2912" w:hanging="360"/>
      </w:pPr>
      <w:rPr>
        <w:rFonts w:ascii="Calibri Light (Theme Headings)" w:hAnsi="Calibri Light (Theme Headings)" w:hint="default"/>
        <w:b/>
        <w:bCs/>
        <w:i w:val="0"/>
        <w:iCs w:val="0"/>
        <w:color w:val="303B41" w:themeColor="text2"/>
        <w:sz w:val="22"/>
        <w:szCs w:val="18"/>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46" w15:restartNumberingAfterBreak="0">
    <w:nsid w:val="79045DAE"/>
    <w:multiLevelType w:val="hybridMultilevel"/>
    <w:tmpl w:val="CEB21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FB93A20"/>
    <w:multiLevelType w:val="hybridMultilevel"/>
    <w:tmpl w:val="023057F4"/>
    <w:lvl w:ilvl="0" w:tplc="2938BD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E11CA5"/>
    <w:multiLevelType w:val="multilevel"/>
    <w:tmpl w:val="041D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9"/>
  </w:num>
  <w:num w:numId="2">
    <w:abstractNumId w:val="35"/>
  </w:num>
  <w:num w:numId="3">
    <w:abstractNumId w:val="35"/>
    <w:lvlOverride w:ilvl="0">
      <w:startOverride w:val="1"/>
    </w:lvlOverride>
  </w:num>
  <w:num w:numId="4">
    <w:abstractNumId w:val="35"/>
    <w:lvlOverride w:ilvl="0">
      <w:startOverride w:val="1"/>
    </w:lvlOverride>
  </w:num>
  <w:num w:numId="5">
    <w:abstractNumId w:val="29"/>
  </w:num>
  <w:num w:numId="6">
    <w:abstractNumId w:val="39"/>
  </w:num>
  <w:num w:numId="7">
    <w:abstractNumId w:val="45"/>
  </w:num>
  <w:num w:numId="8">
    <w:abstractNumId w:val="15"/>
  </w:num>
  <w:num w:numId="9">
    <w:abstractNumId w:val="12"/>
  </w:num>
  <w:num w:numId="10">
    <w:abstractNumId w:val="16"/>
  </w:num>
  <w:num w:numId="11">
    <w:abstractNumId w:val="13"/>
  </w:num>
  <w:num w:numId="12">
    <w:abstractNumId w:val="26"/>
  </w:num>
  <w:num w:numId="13">
    <w:abstractNumId w:val="19"/>
  </w:num>
  <w:num w:numId="14">
    <w:abstractNumId w:val="24"/>
  </w:num>
  <w:num w:numId="15">
    <w:abstractNumId w:val="44"/>
  </w:num>
  <w:num w:numId="16">
    <w:abstractNumId w:val="17"/>
  </w:num>
  <w:num w:numId="17">
    <w:abstractNumId w:val="11"/>
  </w:num>
  <w:num w:numId="18">
    <w:abstractNumId w:val="23"/>
  </w:num>
  <w:num w:numId="19">
    <w:abstractNumId w:val="27"/>
  </w:num>
  <w:num w:numId="20">
    <w:abstractNumId w:val="32"/>
  </w:num>
  <w:num w:numId="21">
    <w:abstractNumId w:val="42"/>
  </w:num>
  <w:num w:numId="22">
    <w:abstractNumId w:val="40"/>
  </w:num>
  <w:num w:numId="23">
    <w:abstractNumId w:val="31"/>
  </w:num>
  <w:num w:numId="24">
    <w:abstractNumId w:val="20"/>
  </w:num>
  <w:num w:numId="25">
    <w:abstractNumId w:val="28"/>
  </w:num>
  <w:num w:numId="26">
    <w:abstractNumId w:val="10"/>
  </w:num>
  <w:num w:numId="27">
    <w:abstractNumId w:val="41"/>
  </w:num>
  <w:num w:numId="28">
    <w:abstractNumId w:val="35"/>
    <w:lvlOverride w:ilvl="0">
      <w:startOverride w:val="1"/>
    </w:lvlOverride>
  </w:num>
  <w:num w:numId="29">
    <w:abstractNumId w:val="35"/>
    <w:lvlOverride w:ilvl="0">
      <w:startOverride w:val="1"/>
    </w:lvlOverride>
  </w:num>
  <w:num w:numId="30">
    <w:abstractNumId w:val="18"/>
  </w:num>
  <w:num w:numId="31">
    <w:abstractNumId w:val="43"/>
  </w:num>
  <w:num w:numId="32">
    <w:abstractNumId w:val="25"/>
  </w:num>
  <w:num w:numId="33">
    <w:abstractNumId w:val="37"/>
  </w:num>
  <w:num w:numId="34">
    <w:abstractNumId w:val="48"/>
  </w:num>
  <w:num w:numId="35">
    <w:abstractNumId w:val="34"/>
  </w:num>
  <w:num w:numId="36">
    <w:abstractNumId w:val="21"/>
  </w:num>
  <w:num w:numId="37">
    <w:abstractNumId w:val="46"/>
  </w:num>
  <w:num w:numId="38">
    <w:abstractNumId w:val="30"/>
  </w:num>
  <w:num w:numId="39">
    <w:abstractNumId w:val="22"/>
  </w:num>
  <w:num w:numId="40">
    <w:abstractNumId w:val="38"/>
  </w:num>
  <w:num w:numId="41">
    <w:abstractNumId w:val="36"/>
  </w:num>
  <w:num w:numId="42">
    <w:abstractNumId w:val="33"/>
  </w:num>
  <w:num w:numId="43">
    <w:abstractNumId w:val="14"/>
  </w:num>
  <w:num w:numId="44">
    <w:abstractNumId w:val="47"/>
  </w:num>
  <w:num w:numId="45">
    <w:abstractNumId w:val="0"/>
  </w:num>
  <w:num w:numId="46">
    <w:abstractNumId w:val="1"/>
  </w:num>
  <w:num w:numId="47">
    <w:abstractNumId w:val="2"/>
  </w:num>
  <w:num w:numId="48">
    <w:abstractNumId w:val="3"/>
  </w:num>
  <w:num w:numId="49">
    <w:abstractNumId w:val="8"/>
  </w:num>
  <w:num w:numId="50">
    <w:abstractNumId w:val="4"/>
  </w:num>
  <w:num w:numId="51">
    <w:abstractNumId w:val="5"/>
  </w:num>
  <w:num w:numId="52">
    <w:abstractNumId w:val="6"/>
  </w:num>
  <w:num w:numId="53">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874"/>
    <w:rsid w:val="0000333D"/>
    <w:rsid w:val="00005404"/>
    <w:rsid w:val="0001274F"/>
    <w:rsid w:val="00013C53"/>
    <w:rsid w:val="00014572"/>
    <w:rsid w:val="0001672B"/>
    <w:rsid w:val="00020482"/>
    <w:rsid w:val="000354D7"/>
    <w:rsid w:val="00035F85"/>
    <w:rsid w:val="000370FB"/>
    <w:rsid w:val="00046F51"/>
    <w:rsid w:val="0006371E"/>
    <w:rsid w:val="000643B7"/>
    <w:rsid w:val="00065D85"/>
    <w:rsid w:val="00075B1A"/>
    <w:rsid w:val="00081DBC"/>
    <w:rsid w:val="0008234D"/>
    <w:rsid w:val="00086735"/>
    <w:rsid w:val="0009379A"/>
    <w:rsid w:val="00094594"/>
    <w:rsid w:val="00095D67"/>
    <w:rsid w:val="00096A22"/>
    <w:rsid w:val="000A4D58"/>
    <w:rsid w:val="000A6008"/>
    <w:rsid w:val="000A72B4"/>
    <w:rsid w:val="000A74DB"/>
    <w:rsid w:val="000B101A"/>
    <w:rsid w:val="000B227F"/>
    <w:rsid w:val="000B6154"/>
    <w:rsid w:val="000B69E5"/>
    <w:rsid w:val="000B6AD6"/>
    <w:rsid w:val="000B7488"/>
    <w:rsid w:val="000C097D"/>
    <w:rsid w:val="000C29B0"/>
    <w:rsid w:val="000C76B6"/>
    <w:rsid w:val="000D6E36"/>
    <w:rsid w:val="000D759C"/>
    <w:rsid w:val="000E593F"/>
    <w:rsid w:val="000E5FDB"/>
    <w:rsid w:val="000F203C"/>
    <w:rsid w:val="000F4D89"/>
    <w:rsid w:val="00101570"/>
    <w:rsid w:val="001035A7"/>
    <w:rsid w:val="00104F1A"/>
    <w:rsid w:val="0010525E"/>
    <w:rsid w:val="00112C2B"/>
    <w:rsid w:val="00114205"/>
    <w:rsid w:val="00114D44"/>
    <w:rsid w:val="00117F17"/>
    <w:rsid w:val="00123E50"/>
    <w:rsid w:val="00125BC5"/>
    <w:rsid w:val="0013759A"/>
    <w:rsid w:val="0014378D"/>
    <w:rsid w:val="00144788"/>
    <w:rsid w:val="00146C62"/>
    <w:rsid w:val="00147909"/>
    <w:rsid w:val="00150A39"/>
    <w:rsid w:val="00156553"/>
    <w:rsid w:val="00157DA7"/>
    <w:rsid w:val="0016088A"/>
    <w:rsid w:val="001644E6"/>
    <w:rsid w:val="001720AB"/>
    <w:rsid w:val="00175064"/>
    <w:rsid w:val="001960AE"/>
    <w:rsid w:val="0019772E"/>
    <w:rsid w:val="001A25E1"/>
    <w:rsid w:val="001A2E8F"/>
    <w:rsid w:val="001A6369"/>
    <w:rsid w:val="001B2F2C"/>
    <w:rsid w:val="001B5690"/>
    <w:rsid w:val="001C20B3"/>
    <w:rsid w:val="001C761C"/>
    <w:rsid w:val="001D104A"/>
    <w:rsid w:val="001D2D2C"/>
    <w:rsid w:val="001E1C52"/>
    <w:rsid w:val="001E2B4E"/>
    <w:rsid w:val="001E4F48"/>
    <w:rsid w:val="001E78FC"/>
    <w:rsid w:val="001F18D2"/>
    <w:rsid w:val="001F4B11"/>
    <w:rsid w:val="001F4CFF"/>
    <w:rsid w:val="001F770D"/>
    <w:rsid w:val="00206C31"/>
    <w:rsid w:val="00211BD8"/>
    <w:rsid w:val="00212983"/>
    <w:rsid w:val="002131B6"/>
    <w:rsid w:val="00220037"/>
    <w:rsid w:val="00220C07"/>
    <w:rsid w:val="002238D0"/>
    <w:rsid w:val="00231114"/>
    <w:rsid w:val="002366C2"/>
    <w:rsid w:val="002424FF"/>
    <w:rsid w:val="00243B4E"/>
    <w:rsid w:val="00244784"/>
    <w:rsid w:val="002463A5"/>
    <w:rsid w:val="002501D1"/>
    <w:rsid w:val="002529BB"/>
    <w:rsid w:val="00257A59"/>
    <w:rsid w:val="00257B38"/>
    <w:rsid w:val="002621BD"/>
    <w:rsid w:val="002627D5"/>
    <w:rsid w:val="0026674F"/>
    <w:rsid w:val="00272409"/>
    <w:rsid w:val="00272FF0"/>
    <w:rsid w:val="002737D4"/>
    <w:rsid w:val="0028060C"/>
    <w:rsid w:val="002815DC"/>
    <w:rsid w:val="00283C63"/>
    <w:rsid w:val="00284BF4"/>
    <w:rsid w:val="002858E0"/>
    <w:rsid w:val="00286DE2"/>
    <w:rsid w:val="00291E67"/>
    <w:rsid w:val="00296F62"/>
    <w:rsid w:val="00297463"/>
    <w:rsid w:val="002A5DEA"/>
    <w:rsid w:val="002B1237"/>
    <w:rsid w:val="002B3EF8"/>
    <w:rsid w:val="002B49AE"/>
    <w:rsid w:val="002B72B0"/>
    <w:rsid w:val="002B7767"/>
    <w:rsid w:val="002C03D0"/>
    <w:rsid w:val="002C563F"/>
    <w:rsid w:val="002C79A0"/>
    <w:rsid w:val="002D130F"/>
    <w:rsid w:val="002E01BC"/>
    <w:rsid w:val="002E452A"/>
    <w:rsid w:val="002E677E"/>
    <w:rsid w:val="002F3E73"/>
    <w:rsid w:val="002F64AA"/>
    <w:rsid w:val="00300305"/>
    <w:rsid w:val="003148BA"/>
    <w:rsid w:val="00314BB0"/>
    <w:rsid w:val="00317247"/>
    <w:rsid w:val="00322F68"/>
    <w:rsid w:val="0032505C"/>
    <w:rsid w:val="00325B9A"/>
    <w:rsid w:val="003268A2"/>
    <w:rsid w:val="00330742"/>
    <w:rsid w:val="003348BA"/>
    <w:rsid w:val="0033555C"/>
    <w:rsid w:val="00336615"/>
    <w:rsid w:val="00336929"/>
    <w:rsid w:val="00337B36"/>
    <w:rsid w:val="00342529"/>
    <w:rsid w:val="00343DDB"/>
    <w:rsid w:val="00347437"/>
    <w:rsid w:val="00353959"/>
    <w:rsid w:val="003546FA"/>
    <w:rsid w:val="003575A1"/>
    <w:rsid w:val="003578D1"/>
    <w:rsid w:val="003637F8"/>
    <w:rsid w:val="00363FC7"/>
    <w:rsid w:val="00366892"/>
    <w:rsid w:val="00373145"/>
    <w:rsid w:val="003742FA"/>
    <w:rsid w:val="003766E3"/>
    <w:rsid w:val="0038247D"/>
    <w:rsid w:val="00393AAF"/>
    <w:rsid w:val="003B245B"/>
    <w:rsid w:val="003B32E1"/>
    <w:rsid w:val="003C06B8"/>
    <w:rsid w:val="003C318C"/>
    <w:rsid w:val="003D206C"/>
    <w:rsid w:val="003D5779"/>
    <w:rsid w:val="003E04A7"/>
    <w:rsid w:val="003E04BD"/>
    <w:rsid w:val="003E7C83"/>
    <w:rsid w:val="003F4E70"/>
    <w:rsid w:val="003F565B"/>
    <w:rsid w:val="003F7A17"/>
    <w:rsid w:val="0040025A"/>
    <w:rsid w:val="00401DA3"/>
    <w:rsid w:val="00403E96"/>
    <w:rsid w:val="00405107"/>
    <w:rsid w:val="004108FE"/>
    <w:rsid w:val="00414A98"/>
    <w:rsid w:val="004274ED"/>
    <w:rsid w:val="004335C6"/>
    <w:rsid w:val="004377CC"/>
    <w:rsid w:val="0044542F"/>
    <w:rsid w:val="00450D56"/>
    <w:rsid w:val="004511B4"/>
    <w:rsid w:val="00452540"/>
    <w:rsid w:val="00453552"/>
    <w:rsid w:val="00456D52"/>
    <w:rsid w:val="00457974"/>
    <w:rsid w:val="004610E3"/>
    <w:rsid w:val="00463FD0"/>
    <w:rsid w:val="00466C8C"/>
    <w:rsid w:val="004718FA"/>
    <w:rsid w:val="00477405"/>
    <w:rsid w:val="00477D1B"/>
    <w:rsid w:val="004818AF"/>
    <w:rsid w:val="004818B6"/>
    <w:rsid w:val="004833EF"/>
    <w:rsid w:val="004837FA"/>
    <w:rsid w:val="004866DB"/>
    <w:rsid w:val="00494DE9"/>
    <w:rsid w:val="00497974"/>
    <w:rsid w:val="004A020A"/>
    <w:rsid w:val="004A11FA"/>
    <w:rsid w:val="004A4078"/>
    <w:rsid w:val="004A7123"/>
    <w:rsid w:val="004B1B44"/>
    <w:rsid w:val="004B274C"/>
    <w:rsid w:val="004B6D92"/>
    <w:rsid w:val="004B7736"/>
    <w:rsid w:val="004B7EB8"/>
    <w:rsid w:val="004C7042"/>
    <w:rsid w:val="004D24BD"/>
    <w:rsid w:val="004D25F3"/>
    <w:rsid w:val="004D3F75"/>
    <w:rsid w:val="004D4412"/>
    <w:rsid w:val="004D4F14"/>
    <w:rsid w:val="004D5FA1"/>
    <w:rsid w:val="004E20B2"/>
    <w:rsid w:val="004E70E7"/>
    <w:rsid w:val="004F057C"/>
    <w:rsid w:val="004F26CA"/>
    <w:rsid w:val="004F35B1"/>
    <w:rsid w:val="004F6500"/>
    <w:rsid w:val="00500E68"/>
    <w:rsid w:val="005022D4"/>
    <w:rsid w:val="005131EB"/>
    <w:rsid w:val="00514955"/>
    <w:rsid w:val="00525C29"/>
    <w:rsid w:val="00530F79"/>
    <w:rsid w:val="0054118C"/>
    <w:rsid w:val="00543462"/>
    <w:rsid w:val="00543F24"/>
    <w:rsid w:val="00546F4C"/>
    <w:rsid w:val="00550560"/>
    <w:rsid w:val="00552E51"/>
    <w:rsid w:val="00556481"/>
    <w:rsid w:val="00560B94"/>
    <w:rsid w:val="0056108B"/>
    <w:rsid w:val="005717A0"/>
    <w:rsid w:val="00574AC9"/>
    <w:rsid w:val="005830E1"/>
    <w:rsid w:val="005874DB"/>
    <w:rsid w:val="00596120"/>
    <w:rsid w:val="005A152C"/>
    <w:rsid w:val="005A51D8"/>
    <w:rsid w:val="005A51E9"/>
    <w:rsid w:val="005A531A"/>
    <w:rsid w:val="005B3C42"/>
    <w:rsid w:val="005C1F31"/>
    <w:rsid w:val="005C23C3"/>
    <w:rsid w:val="005C3D7D"/>
    <w:rsid w:val="005C63BE"/>
    <w:rsid w:val="005D2194"/>
    <w:rsid w:val="005D267A"/>
    <w:rsid w:val="005D31D2"/>
    <w:rsid w:val="005E0D6E"/>
    <w:rsid w:val="005E1D73"/>
    <w:rsid w:val="005E42B9"/>
    <w:rsid w:val="005E582F"/>
    <w:rsid w:val="005F0762"/>
    <w:rsid w:val="005F4B57"/>
    <w:rsid w:val="005F4CD7"/>
    <w:rsid w:val="00601875"/>
    <w:rsid w:val="00602529"/>
    <w:rsid w:val="00603201"/>
    <w:rsid w:val="00610356"/>
    <w:rsid w:val="006211E6"/>
    <w:rsid w:val="006311B0"/>
    <w:rsid w:val="00633478"/>
    <w:rsid w:val="006369E6"/>
    <w:rsid w:val="006415C0"/>
    <w:rsid w:val="006528CB"/>
    <w:rsid w:val="00652A40"/>
    <w:rsid w:val="006535FF"/>
    <w:rsid w:val="00653E56"/>
    <w:rsid w:val="00653FE7"/>
    <w:rsid w:val="00654EF0"/>
    <w:rsid w:val="00660975"/>
    <w:rsid w:val="0066335F"/>
    <w:rsid w:val="006648C2"/>
    <w:rsid w:val="00666A57"/>
    <w:rsid w:val="00667874"/>
    <w:rsid w:val="00671097"/>
    <w:rsid w:val="0067137E"/>
    <w:rsid w:val="00671973"/>
    <w:rsid w:val="00672563"/>
    <w:rsid w:val="00676596"/>
    <w:rsid w:val="0068190B"/>
    <w:rsid w:val="00690BEC"/>
    <w:rsid w:val="0069350C"/>
    <w:rsid w:val="006947D5"/>
    <w:rsid w:val="00696549"/>
    <w:rsid w:val="006A2BF4"/>
    <w:rsid w:val="006A5407"/>
    <w:rsid w:val="006A6DB2"/>
    <w:rsid w:val="006B1428"/>
    <w:rsid w:val="006B2D96"/>
    <w:rsid w:val="006B7262"/>
    <w:rsid w:val="006D55E7"/>
    <w:rsid w:val="006D61E2"/>
    <w:rsid w:val="006E6850"/>
    <w:rsid w:val="006F1390"/>
    <w:rsid w:val="00706783"/>
    <w:rsid w:val="00706C66"/>
    <w:rsid w:val="00715A3B"/>
    <w:rsid w:val="00715E6B"/>
    <w:rsid w:val="0072117F"/>
    <w:rsid w:val="0072356F"/>
    <w:rsid w:val="00725D12"/>
    <w:rsid w:val="00727F57"/>
    <w:rsid w:val="007344DD"/>
    <w:rsid w:val="00737FEC"/>
    <w:rsid w:val="007408A9"/>
    <w:rsid w:val="00753D01"/>
    <w:rsid w:val="00757838"/>
    <w:rsid w:val="00757F85"/>
    <w:rsid w:val="00760C9B"/>
    <w:rsid w:val="0076727C"/>
    <w:rsid w:val="007719EF"/>
    <w:rsid w:val="00775435"/>
    <w:rsid w:val="007839DE"/>
    <w:rsid w:val="007908C5"/>
    <w:rsid w:val="0079406C"/>
    <w:rsid w:val="007A50D4"/>
    <w:rsid w:val="007A6754"/>
    <w:rsid w:val="007A73D2"/>
    <w:rsid w:val="007B036E"/>
    <w:rsid w:val="007B31D3"/>
    <w:rsid w:val="007B4A9C"/>
    <w:rsid w:val="007B6F3F"/>
    <w:rsid w:val="007C13D3"/>
    <w:rsid w:val="007C2CE1"/>
    <w:rsid w:val="007C3F48"/>
    <w:rsid w:val="007C4929"/>
    <w:rsid w:val="007C6D2F"/>
    <w:rsid w:val="007D2CB5"/>
    <w:rsid w:val="007D4038"/>
    <w:rsid w:val="007F5E97"/>
    <w:rsid w:val="008041F6"/>
    <w:rsid w:val="00804639"/>
    <w:rsid w:val="0080488B"/>
    <w:rsid w:val="008169D0"/>
    <w:rsid w:val="00821C0E"/>
    <w:rsid w:val="008254AA"/>
    <w:rsid w:val="008261C8"/>
    <w:rsid w:val="008345C3"/>
    <w:rsid w:val="008352FF"/>
    <w:rsid w:val="00835322"/>
    <w:rsid w:val="0083532D"/>
    <w:rsid w:val="0084423A"/>
    <w:rsid w:val="008454B6"/>
    <w:rsid w:val="0085520F"/>
    <w:rsid w:val="00856534"/>
    <w:rsid w:val="008628D2"/>
    <w:rsid w:val="00862A2D"/>
    <w:rsid w:val="00863358"/>
    <w:rsid w:val="0086446D"/>
    <w:rsid w:val="0086456C"/>
    <w:rsid w:val="00865523"/>
    <w:rsid w:val="00876E1A"/>
    <w:rsid w:val="00884E4A"/>
    <w:rsid w:val="0088676C"/>
    <w:rsid w:val="00893B2C"/>
    <w:rsid w:val="00897871"/>
    <w:rsid w:val="008A031A"/>
    <w:rsid w:val="008A0782"/>
    <w:rsid w:val="008A3478"/>
    <w:rsid w:val="008A6D91"/>
    <w:rsid w:val="008B035D"/>
    <w:rsid w:val="008B26CE"/>
    <w:rsid w:val="008B7764"/>
    <w:rsid w:val="008C3155"/>
    <w:rsid w:val="008C5C7E"/>
    <w:rsid w:val="008E2542"/>
    <w:rsid w:val="008E3C51"/>
    <w:rsid w:val="008F186A"/>
    <w:rsid w:val="008F2C14"/>
    <w:rsid w:val="008F5583"/>
    <w:rsid w:val="00900181"/>
    <w:rsid w:val="00901C45"/>
    <w:rsid w:val="0090506C"/>
    <w:rsid w:val="009066D7"/>
    <w:rsid w:val="0090732A"/>
    <w:rsid w:val="00907888"/>
    <w:rsid w:val="009112A9"/>
    <w:rsid w:val="00912DAB"/>
    <w:rsid w:val="009236A7"/>
    <w:rsid w:val="00924A0C"/>
    <w:rsid w:val="00925760"/>
    <w:rsid w:val="009257E4"/>
    <w:rsid w:val="009263A2"/>
    <w:rsid w:val="0092694B"/>
    <w:rsid w:val="00931DC0"/>
    <w:rsid w:val="00932AC4"/>
    <w:rsid w:val="00932E22"/>
    <w:rsid w:val="00935F84"/>
    <w:rsid w:val="00940B2F"/>
    <w:rsid w:val="0094165A"/>
    <w:rsid w:val="009434B2"/>
    <w:rsid w:val="00945948"/>
    <w:rsid w:val="00947C55"/>
    <w:rsid w:val="009512A1"/>
    <w:rsid w:val="00951D6D"/>
    <w:rsid w:val="00953505"/>
    <w:rsid w:val="009620F8"/>
    <w:rsid w:val="00974B6E"/>
    <w:rsid w:val="00976EC2"/>
    <w:rsid w:val="00984667"/>
    <w:rsid w:val="009872FC"/>
    <w:rsid w:val="00987C1A"/>
    <w:rsid w:val="00993A53"/>
    <w:rsid w:val="009940D4"/>
    <w:rsid w:val="009977FF"/>
    <w:rsid w:val="009A0957"/>
    <w:rsid w:val="009A1A04"/>
    <w:rsid w:val="009B4C73"/>
    <w:rsid w:val="009C68AF"/>
    <w:rsid w:val="009D0EE6"/>
    <w:rsid w:val="009D103C"/>
    <w:rsid w:val="009D733B"/>
    <w:rsid w:val="009E4ECF"/>
    <w:rsid w:val="009E4F94"/>
    <w:rsid w:val="009E7B2B"/>
    <w:rsid w:val="009F1F79"/>
    <w:rsid w:val="009F2518"/>
    <w:rsid w:val="009F379F"/>
    <w:rsid w:val="009F7CA0"/>
    <w:rsid w:val="00A004F1"/>
    <w:rsid w:val="00A17B18"/>
    <w:rsid w:val="00A20488"/>
    <w:rsid w:val="00A249BD"/>
    <w:rsid w:val="00A3423D"/>
    <w:rsid w:val="00A35F6E"/>
    <w:rsid w:val="00A362D9"/>
    <w:rsid w:val="00A373A5"/>
    <w:rsid w:val="00A51FCF"/>
    <w:rsid w:val="00A536D5"/>
    <w:rsid w:val="00A55287"/>
    <w:rsid w:val="00A602B2"/>
    <w:rsid w:val="00A662C9"/>
    <w:rsid w:val="00A709AF"/>
    <w:rsid w:val="00A73DF3"/>
    <w:rsid w:val="00A80BD3"/>
    <w:rsid w:val="00A81DE9"/>
    <w:rsid w:val="00A864DF"/>
    <w:rsid w:val="00A93007"/>
    <w:rsid w:val="00A93CCB"/>
    <w:rsid w:val="00A94941"/>
    <w:rsid w:val="00A95E29"/>
    <w:rsid w:val="00A970E6"/>
    <w:rsid w:val="00AA007E"/>
    <w:rsid w:val="00AA38F3"/>
    <w:rsid w:val="00AA4817"/>
    <w:rsid w:val="00AA54F0"/>
    <w:rsid w:val="00AB5060"/>
    <w:rsid w:val="00AC26FA"/>
    <w:rsid w:val="00AC753D"/>
    <w:rsid w:val="00AD7C49"/>
    <w:rsid w:val="00AE52DA"/>
    <w:rsid w:val="00AF25EA"/>
    <w:rsid w:val="00AF2865"/>
    <w:rsid w:val="00AF2D33"/>
    <w:rsid w:val="00AF5175"/>
    <w:rsid w:val="00AF7D91"/>
    <w:rsid w:val="00B01182"/>
    <w:rsid w:val="00B07D66"/>
    <w:rsid w:val="00B11F0B"/>
    <w:rsid w:val="00B26C8F"/>
    <w:rsid w:val="00B311BF"/>
    <w:rsid w:val="00B36262"/>
    <w:rsid w:val="00B36818"/>
    <w:rsid w:val="00B52681"/>
    <w:rsid w:val="00B658B9"/>
    <w:rsid w:val="00B65C8D"/>
    <w:rsid w:val="00B65CDC"/>
    <w:rsid w:val="00B711F4"/>
    <w:rsid w:val="00B71327"/>
    <w:rsid w:val="00B72EB5"/>
    <w:rsid w:val="00B7404B"/>
    <w:rsid w:val="00B75975"/>
    <w:rsid w:val="00B768BC"/>
    <w:rsid w:val="00B80789"/>
    <w:rsid w:val="00B811F7"/>
    <w:rsid w:val="00B859DD"/>
    <w:rsid w:val="00B926DF"/>
    <w:rsid w:val="00B9410E"/>
    <w:rsid w:val="00B95C31"/>
    <w:rsid w:val="00B9633D"/>
    <w:rsid w:val="00B9670E"/>
    <w:rsid w:val="00BA04A5"/>
    <w:rsid w:val="00BA1546"/>
    <w:rsid w:val="00BA68A9"/>
    <w:rsid w:val="00BA6F31"/>
    <w:rsid w:val="00BB3C14"/>
    <w:rsid w:val="00BC295C"/>
    <w:rsid w:val="00BC3121"/>
    <w:rsid w:val="00BC48EE"/>
    <w:rsid w:val="00BC53B2"/>
    <w:rsid w:val="00BC63D3"/>
    <w:rsid w:val="00BD2319"/>
    <w:rsid w:val="00BD26C0"/>
    <w:rsid w:val="00BD38A7"/>
    <w:rsid w:val="00BD42E3"/>
    <w:rsid w:val="00BE0D48"/>
    <w:rsid w:val="00BE116A"/>
    <w:rsid w:val="00BE1B5F"/>
    <w:rsid w:val="00BE35D7"/>
    <w:rsid w:val="00BE49EB"/>
    <w:rsid w:val="00BE68D7"/>
    <w:rsid w:val="00BE6AC9"/>
    <w:rsid w:val="00BF3679"/>
    <w:rsid w:val="00BF43BC"/>
    <w:rsid w:val="00BF43EF"/>
    <w:rsid w:val="00C03723"/>
    <w:rsid w:val="00C14AF0"/>
    <w:rsid w:val="00C22EC2"/>
    <w:rsid w:val="00C23E64"/>
    <w:rsid w:val="00C2526C"/>
    <w:rsid w:val="00C25669"/>
    <w:rsid w:val="00C264D4"/>
    <w:rsid w:val="00C30166"/>
    <w:rsid w:val="00C31130"/>
    <w:rsid w:val="00C35549"/>
    <w:rsid w:val="00C361D1"/>
    <w:rsid w:val="00C378FF"/>
    <w:rsid w:val="00C45559"/>
    <w:rsid w:val="00C534B2"/>
    <w:rsid w:val="00C53A18"/>
    <w:rsid w:val="00C56475"/>
    <w:rsid w:val="00C615A5"/>
    <w:rsid w:val="00C6308F"/>
    <w:rsid w:val="00C65191"/>
    <w:rsid w:val="00C65311"/>
    <w:rsid w:val="00C66369"/>
    <w:rsid w:val="00C705F0"/>
    <w:rsid w:val="00C712CD"/>
    <w:rsid w:val="00C72F32"/>
    <w:rsid w:val="00C7502D"/>
    <w:rsid w:val="00C75623"/>
    <w:rsid w:val="00C827CC"/>
    <w:rsid w:val="00C831BF"/>
    <w:rsid w:val="00C86585"/>
    <w:rsid w:val="00C87A9C"/>
    <w:rsid w:val="00CA246C"/>
    <w:rsid w:val="00CA58AE"/>
    <w:rsid w:val="00CA58DC"/>
    <w:rsid w:val="00CB4C18"/>
    <w:rsid w:val="00CB71CF"/>
    <w:rsid w:val="00CC11BC"/>
    <w:rsid w:val="00CC5652"/>
    <w:rsid w:val="00CC68E6"/>
    <w:rsid w:val="00CD15D1"/>
    <w:rsid w:val="00CD1D66"/>
    <w:rsid w:val="00CD6C67"/>
    <w:rsid w:val="00CD7F8C"/>
    <w:rsid w:val="00CE60A2"/>
    <w:rsid w:val="00CF1F92"/>
    <w:rsid w:val="00CF23B6"/>
    <w:rsid w:val="00CF3CC9"/>
    <w:rsid w:val="00D07E35"/>
    <w:rsid w:val="00D1160E"/>
    <w:rsid w:val="00D11D9A"/>
    <w:rsid w:val="00D12BDC"/>
    <w:rsid w:val="00D16C2B"/>
    <w:rsid w:val="00D17E67"/>
    <w:rsid w:val="00D22A96"/>
    <w:rsid w:val="00D251C6"/>
    <w:rsid w:val="00D3015F"/>
    <w:rsid w:val="00D30CDF"/>
    <w:rsid w:val="00D33871"/>
    <w:rsid w:val="00D33A8F"/>
    <w:rsid w:val="00D44EA6"/>
    <w:rsid w:val="00D45F0D"/>
    <w:rsid w:val="00D526BA"/>
    <w:rsid w:val="00D557A4"/>
    <w:rsid w:val="00D61281"/>
    <w:rsid w:val="00D73CE6"/>
    <w:rsid w:val="00D77787"/>
    <w:rsid w:val="00D77C9C"/>
    <w:rsid w:val="00D82DD9"/>
    <w:rsid w:val="00D830B6"/>
    <w:rsid w:val="00D927F8"/>
    <w:rsid w:val="00D9430A"/>
    <w:rsid w:val="00D9661C"/>
    <w:rsid w:val="00D97DC3"/>
    <w:rsid w:val="00DA2487"/>
    <w:rsid w:val="00DA4644"/>
    <w:rsid w:val="00DA5D11"/>
    <w:rsid w:val="00DA65B3"/>
    <w:rsid w:val="00DA773B"/>
    <w:rsid w:val="00DB708B"/>
    <w:rsid w:val="00DC0675"/>
    <w:rsid w:val="00DC11DC"/>
    <w:rsid w:val="00DC172A"/>
    <w:rsid w:val="00DC2068"/>
    <w:rsid w:val="00DC26D4"/>
    <w:rsid w:val="00DC303B"/>
    <w:rsid w:val="00DC34D7"/>
    <w:rsid w:val="00DC5C79"/>
    <w:rsid w:val="00DD777C"/>
    <w:rsid w:val="00DE1D58"/>
    <w:rsid w:val="00DE2B01"/>
    <w:rsid w:val="00DE4079"/>
    <w:rsid w:val="00DE657D"/>
    <w:rsid w:val="00DF4ECB"/>
    <w:rsid w:val="00E007A3"/>
    <w:rsid w:val="00E014D0"/>
    <w:rsid w:val="00E04F97"/>
    <w:rsid w:val="00E1207F"/>
    <w:rsid w:val="00E126BB"/>
    <w:rsid w:val="00E204B0"/>
    <w:rsid w:val="00E20F55"/>
    <w:rsid w:val="00E25354"/>
    <w:rsid w:val="00E25427"/>
    <w:rsid w:val="00E308D8"/>
    <w:rsid w:val="00E32950"/>
    <w:rsid w:val="00E3402C"/>
    <w:rsid w:val="00E35859"/>
    <w:rsid w:val="00E40FD7"/>
    <w:rsid w:val="00E42481"/>
    <w:rsid w:val="00E42B3A"/>
    <w:rsid w:val="00E47E69"/>
    <w:rsid w:val="00E57581"/>
    <w:rsid w:val="00E62C52"/>
    <w:rsid w:val="00E64A2F"/>
    <w:rsid w:val="00E64F69"/>
    <w:rsid w:val="00E65BB1"/>
    <w:rsid w:val="00E66B67"/>
    <w:rsid w:val="00E67C73"/>
    <w:rsid w:val="00E73AA4"/>
    <w:rsid w:val="00E742EC"/>
    <w:rsid w:val="00E743EE"/>
    <w:rsid w:val="00E74596"/>
    <w:rsid w:val="00E80CD6"/>
    <w:rsid w:val="00E8296A"/>
    <w:rsid w:val="00E83A35"/>
    <w:rsid w:val="00E860A2"/>
    <w:rsid w:val="00E9134E"/>
    <w:rsid w:val="00E945FE"/>
    <w:rsid w:val="00EA7AF5"/>
    <w:rsid w:val="00EB14D2"/>
    <w:rsid w:val="00EB2884"/>
    <w:rsid w:val="00EB2FEF"/>
    <w:rsid w:val="00EB6BC8"/>
    <w:rsid w:val="00EC17D8"/>
    <w:rsid w:val="00EC2C42"/>
    <w:rsid w:val="00EC46F9"/>
    <w:rsid w:val="00EC4969"/>
    <w:rsid w:val="00EC4C43"/>
    <w:rsid w:val="00EC4E5A"/>
    <w:rsid w:val="00ED3BD7"/>
    <w:rsid w:val="00ED4291"/>
    <w:rsid w:val="00ED6B79"/>
    <w:rsid w:val="00ED71A3"/>
    <w:rsid w:val="00EE2FC2"/>
    <w:rsid w:val="00EE405B"/>
    <w:rsid w:val="00EE7250"/>
    <w:rsid w:val="00EE77CC"/>
    <w:rsid w:val="00EF448A"/>
    <w:rsid w:val="00F00686"/>
    <w:rsid w:val="00F023AC"/>
    <w:rsid w:val="00F040FF"/>
    <w:rsid w:val="00F158C1"/>
    <w:rsid w:val="00F172AA"/>
    <w:rsid w:val="00F22F48"/>
    <w:rsid w:val="00F249B3"/>
    <w:rsid w:val="00F25CA4"/>
    <w:rsid w:val="00F33465"/>
    <w:rsid w:val="00F37218"/>
    <w:rsid w:val="00F42AB6"/>
    <w:rsid w:val="00F61E84"/>
    <w:rsid w:val="00F62EC6"/>
    <w:rsid w:val="00F7170F"/>
    <w:rsid w:val="00F758B0"/>
    <w:rsid w:val="00F76C8D"/>
    <w:rsid w:val="00F80506"/>
    <w:rsid w:val="00F8320C"/>
    <w:rsid w:val="00F84EF4"/>
    <w:rsid w:val="00F87B97"/>
    <w:rsid w:val="00F922D6"/>
    <w:rsid w:val="00F94056"/>
    <w:rsid w:val="00FA09A4"/>
    <w:rsid w:val="00FA15C8"/>
    <w:rsid w:val="00FA44BB"/>
    <w:rsid w:val="00FA4CE8"/>
    <w:rsid w:val="00FA5858"/>
    <w:rsid w:val="00FA585C"/>
    <w:rsid w:val="00FA66CB"/>
    <w:rsid w:val="00FA7507"/>
    <w:rsid w:val="00FB01AA"/>
    <w:rsid w:val="00FB35AC"/>
    <w:rsid w:val="00FC11FA"/>
    <w:rsid w:val="00FC67DA"/>
    <w:rsid w:val="00FC7546"/>
    <w:rsid w:val="00FD44A6"/>
    <w:rsid w:val="00FD592D"/>
    <w:rsid w:val="00FE1BFF"/>
    <w:rsid w:val="00FE6150"/>
    <w:rsid w:val="00FE6B4A"/>
    <w:rsid w:val="00FF46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713FAE"/>
  <w14:defaultImageDpi w14:val="300"/>
  <w15:docId w15:val="{F0ABD5F2-4A9C-9B4A-A69F-CADF1BB3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8"/>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9670E"/>
    <w:pPr>
      <w:spacing w:after="300" w:line="240" w:lineRule="atLeast"/>
      <w:ind w:right="284"/>
    </w:pPr>
    <w:rPr>
      <w:color w:val="000000" w:themeColor="text1"/>
      <w:sz w:val="22"/>
      <w:szCs w:val="18"/>
    </w:rPr>
  </w:style>
  <w:style w:type="paragraph" w:styleId="Heading1">
    <w:name w:val="heading 1"/>
    <w:next w:val="Normal"/>
    <w:link w:val="Heading1Char"/>
    <w:uiPriority w:val="1"/>
    <w:qFormat/>
    <w:rsid w:val="004377CC"/>
    <w:pPr>
      <w:keepNext/>
      <w:keepLines/>
      <w:numPr>
        <w:numId w:val="34"/>
      </w:numPr>
      <w:spacing w:before="360" w:after="300" w:line="440" w:lineRule="exact"/>
      <w:ind w:right="284"/>
      <w:outlineLvl w:val="0"/>
    </w:pPr>
    <w:rPr>
      <w:rFonts w:asciiTheme="majorHAnsi" w:eastAsiaTheme="majorEastAsia" w:hAnsiTheme="majorHAnsi" w:cstheme="majorBidi"/>
      <w:b/>
      <w:bCs/>
      <w:color w:val="263238"/>
      <w:sz w:val="40"/>
      <w:szCs w:val="32"/>
    </w:rPr>
  </w:style>
  <w:style w:type="paragraph" w:styleId="Heading2">
    <w:name w:val="heading 2"/>
    <w:basedOn w:val="Normal"/>
    <w:next w:val="Normal"/>
    <w:link w:val="Heading2Char"/>
    <w:uiPriority w:val="1"/>
    <w:qFormat/>
    <w:rsid w:val="004377CC"/>
    <w:pPr>
      <w:keepNext/>
      <w:keepLines/>
      <w:numPr>
        <w:ilvl w:val="1"/>
        <w:numId w:val="34"/>
      </w:numPr>
      <w:spacing w:before="240" w:after="120" w:line="300" w:lineRule="exact"/>
      <w:outlineLvl w:val="1"/>
    </w:pPr>
    <w:rPr>
      <w:rFonts w:asciiTheme="majorHAnsi" w:eastAsiaTheme="majorEastAsia" w:hAnsiTheme="majorHAnsi" w:cstheme="majorBidi"/>
      <w:b/>
      <w:bCs/>
      <w:color w:val="617076"/>
      <w:sz w:val="27"/>
      <w:szCs w:val="27"/>
    </w:rPr>
  </w:style>
  <w:style w:type="paragraph" w:styleId="Heading3">
    <w:name w:val="heading 3"/>
    <w:basedOn w:val="Normal"/>
    <w:next w:val="Normal"/>
    <w:link w:val="Heading3Char"/>
    <w:uiPriority w:val="1"/>
    <w:qFormat/>
    <w:rsid w:val="004377CC"/>
    <w:pPr>
      <w:keepNext/>
      <w:keepLines/>
      <w:numPr>
        <w:ilvl w:val="2"/>
        <w:numId w:val="34"/>
      </w:numPr>
      <w:spacing w:before="160" w:after="120" w:line="260" w:lineRule="exact"/>
      <w:outlineLvl w:val="2"/>
    </w:pPr>
    <w:rPr>
      <w:rFonts w:asciiTheme="majorHAnsi" w:eastAsiaTheme="majorEastAsia" w:hAnsiTheme="majorHAnsi" w:cstheme="majorBidi"/>
      <w:b/>
      <w:bCs/>
      <w:color w:val="263238"/>
    </w:rPr>
  </w:style>
  <w:style w:type="paragraph" w:styleId="Heading4">
    <w:name w:val="heading 4"/>
    <w:basedOn w:val="Normal"/>
    <w:next w:val="Normal"/>
    <w:link w:val="Heading4Char"/>
    <w:uiPriority w:val="1"/>
    <w:qFormat/>
    <w:rsid w:val="003546FA"/>
    <w:pPr>
      <w:keepNext/>
      <w:keepLines/>
      <w:numPr>
        <w:ilvl w:val="3"/>
        <w:numId w:val="34"/>
      </w:numPr>
      <w:spacing w:after="0"/>
      <w:outlineLvl w:val="3"/>
    </w:pPr>
    <w:rPr>
      <w:rFonts w:asciiTheme="majorHAnsi" w:eastAsiaTheme="majorEastAsia" w:hAnsiTheme="majorHAnsi" w:cstheme="majorBidi"/>
      <w:b/>
      <w:bCs/>
      <w:iCs/>
      <w:color w:val="303B41" w:themeColor="text2"/>
    </w:rPr>
  </w:style>
  <w:style w:type="paragraph" w:styleId="Heading5">
    <w:name w:val="heading 5"/>
    <w:basedOn w:val="Normal"/>
    <w:next w:val="Normal"/>
    <w:link w:val="Heading5Char"/>
    <w:uiPriority w:val="9"/>
    <w:unhideWhenUsed/>
    <w:rsid w:val="001035A7"/>
    <w:pPr>
      <w:keepNext/>
      <w:keepLines/>
      <w:numPr>
        <w:ilvl w:val="4"/>
        <w:numId w:val="34"/>
      </w:numPr>
      <w:spacing w:before="40" w:after="0"/>
      <w:outlineLvl w:val="4"/>
    </w:pPr>
    <w:rPr>
      <w:rFonts w:asciiTheme="majorHAnsi" w:eastAsiaTheme="majorEastAsia" w:hAnsiTheme="majorHAnsi" w:cstheme="majorBidi"/>
      <w:color w:val="303B41" w:themeColor="text2"/>
    </w:rPr>
  </w:style>
  <w:style w:type="paragraph" w:styleId="Heading6">
    <w:name w:val="heading 6"/>
    <w:basedOn w:val="Normal"/>
    <w:next w:val="Normal"/>
    <w:link w:val="Heading6Char"/>
    <w:uiPriority w:val="9"/>
    <w:semiHidden/>
    <w:unhideWhenUsed/>
    <w:qFormat/>
    <w:rsid w:val="003546FA"/>
    <w:pPr>
      <w:keepNext/>
      <w:keepLines/>
      <w:numPr>
        <w:ilvl w:val="5"/>
        <w:numId w:val="34"/>
      </w:numPr>
      <w:spacing w:before="40" w:after="0"/>
      <w:outlineLvl w:val="5"/>
    </w:pPr>
    <w:rPr>
      <w:rFonts w:asciiTheme="majorHAnsi" w:eastAsiaTheme="majorEastAsia" w:hAnsiTheme="majorHAnsi" w:cstheme="majorBidi"/>
      <w:color w:val="303B41" w:themeColor="text2"/>
    </w:rPr>
  </w:style>
  <w:style w:type="paragraph" w:styleId="Heading7">
    <w:name w:val="heading 7"/>
    <w:basedOn w:val="Normal"/>
    <w:next w:val="Normal"/>
    <w:link w:val="Heading7Char"/>
    <w:uiPriority w:val="9"/>
    <w:semiHidden/>
    <w:unhideWhenUsed/>
    <w:qFormat/>
    <w:rsid w:val="00667874"/>
    <w:pPr>
      <w:keepNext/>
      <w:keepLines/>
      <w:numPr>
        <w:ilvl w:val="6"/>
        <w:numId w:val="34"/>
      </w:numPr>
      <w:spacing w:before="40" w:after="0"/>
      <w:outlineLvl w:val="6"/>
    </w:pPr>
    <w:rPr>
      <w:rFonts w:asciiTheme="majorHAnsi" w:eastAsiaTheme="majorEastAsia" w:hAnsiTheme="majorHAnsi" w:cstheme="majorBidi"/>
      <w:i/>
      <w:iCs/>
      <w:color w:val="00684C" w:themeColor="accent1" w:themeShade="7F"/>
    </w:rPr>
  </w:style>
  <w:style w:type="paragraph" w:styleId="Heading8">
    <w:name w:val="heading 8"/>
    <w:basedOn w:val="Normal"/>
    <w:next w:val="Normal"/>
    <w:link w:val="Heading8Char"/>
    <w:uiPriority w:val="9"/>
    <w:semiHidden/>
    <w:unhideWhenUsed/>
    <w:qFormat/>
    <w:rsid w:val="00667874"/>
    <w:pPr>
      <w:keepNext/>
      <w:keepLines/>
      <w:numPr>
        <w:ilvl w:val="7"/>
        <w:numId w:val="3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7874"/>
    <w:pPr>
      <w:keepNext/>
      <w:keepLines/>
      <w:numPr>
        <w:ilvl w:val="8"/>
        <w:numId w:val="3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305"/>
    <w:pPr>
      <w:tabs>
        <w:tab w:val="center" w:pos="4320"/>
        <w:tab w:val="right" w:pos="8640"/>
      </w:tabs>
    </w:pPr>
  </w:style>
  <w:style w:type="character" w:customStyle="1" w:styleId="HeaderChar">
    <w:name w:val="Header Char"/>
    <w:basedOn w:val="DefaultParagraphFont"/>
    <w:link w:val="Header"/>
    <w:uiPriority w:val="99"/>
    <w:rsid w:val="00300305"/>
  </w:style>
  <w:style w:type="paragraph" w:styleId="Footer">
    <w:name w:val="footer"/>
    <w:basedOn w:val="Header"/>
    <w:link w:val="FooterChar"/>
    <w:uiPriority w:val="99"/>
    <w:unhideWhenUsed/>
    <w:rsid w:val="004377CC"/>
    <w:pPr>
      <w:ind w:left="-1418" w:right="567"/>
    </w:pPr>
    <w:rPr>
      <w:b/>
      <w:color w:val="617076"/>
    </w:rPr>
  </w:style>
  <w:style w:type="character" w:customStyle="1" w:styleId="FooterChar">
    <w:name w:val="Footer Char"/>
    <w:basedOn w:val="DefaultParagraphFont"/>
    <w:link w:val="Footer"/>
    <w:uiPriority w:val="99"/>
    <w:rsid w:val="004377CC"/>
    <w:rPr>
      <w:b/>
      <w:color w:val="617076"/>
      <w:sz w:val="22"/>
      <w:szCs w:val="18"/>
    </w:rPr>
  </w:style>
  <w:style w:type="paragraph" w:styleId="BalloonText">
    <w:name w:val="Balloon Text"/>
    <w:basedOn w:val="Normal"/>
    <w:link w:val="BalloonTextChar"/>
    <w:uiPriority w:val="99"/>
    <w:semiHidden/>
    <w:unhideWhenUsed/>
    <w:rsid w:val="00300305"/>
    <w:rPr>
      <w:rFonts w:ascii="Lucida Grande" w:hAnsi="Lucida Grande" w:cs="Lucida Grande"/>
    </w:rPr>
  </w:style>
  <w:style w:type="character" w:customStyle="1" w:styleId="BalloonTextChar">
    <w:name w:val="Balloon Text Char"/>
    <w:basedOn w:val="DefaultParagraphFont"/>
    <w:link w:val="BalloonText"/>
    <w:uiPriority w:val="99"/>
    <w:semiHidden/>
    <w:rsid w:val="00300305"/>
    <w:rPr>
      <w:rFonts w:ascii="Lucida Grande" w:hAnsi="Lucida Grande" w:cs="Lucida Grande"/>
      <w:sz w:val="18"/>
      <w:szCs w:val="18"/>
    </w:rPr>
  </w:style>
  <w:style w:type="paragraph" w:styleId="Title">
    <w:name w:val="Title"/>
    <w:basedOn w:val="Normal"/>
    <w:next w:val="Subtitle"/>
    <w:link w:val="TitleChar"/>
    <w:uiPriority w:val="4"/>
    <w:qFormat/>
    <w:rsid w:val="004377CC"/>
    <w:pPr>
      <w:spacing w:before="2500" w:after="800" w:line="900" w:lineRule="exact"/>
      <w:ind w:left="-1418" w:right="4536"/>
      <w:contextualSpacing/>
    </w:pPr>
    <w:rPr>
      <w:rFonts w:asciiTheme="majorHAnsi" w:eastAsiaTheme="majorEastAsia" w:hAnsiTheme="majorHAnsi" w:cs="Times New Roman (Headings CS)"/>
      <w:b/>
      <w:color w:val="263238"/>
      <w:spacing w:val="5"/>
      <w:kern w:val="28"/>
      <w:sz w:val="84"/>
      <w:szCs w:val="52"/>
    </w:rPr>
  </w:style>
  <w:style w:type="character" w:customStyle="1" w:styleId="TitleChar">
    <w:name w:val="Title Char"/>
    <w:basedOn w:val="DefaultParagraphFont"/>
    <w:link w:val="Title"/>
    <w:uiPriority w:val="4"/>
    <w:rsid w:val="004377CC"/>
    <w:rPr>
      <w:rFonts w:asciiTheme="majorHAnsi" w:eastAsiaTheme="majorEastAsia" w:hAnsiTheme="majorHAnsi" w:cs="Times New Roman (Headings CS)"/>
      <w:b/>
      <w:color w:val="263238"/>
      <w:spacing w:val="5"/>
      <w:kern w:val="28"/>
      <w:sz w:val="84"/>
      <w:szCs w:val="52"/>
    </w:rPr>
  </w:style>
  <w:style w:type="paragraph" w:styleId="Subtitle">
    <w:name w:val="Subtitle"/>
    <w:next w:val="Normal"/>
    <w:link w:val="SubtitleChar"/>
    <w:uiPriority w:val="4"/>
    <w:qFormat/>
    <w:rsid w:val="004377CC"/>
    <w:pPr>
      <w:numPr>
        <w:ilvl w:val="1"/>
      </w:numPr>
      <w:spacing w:after="400" w:line="520" w:lineRule="exact"/>
      <w:ind w:left="-1418"/>
    </w:pPr>
    <w:rPr>
      <w:rFonts w:asciiTheme="majorHAnsi" w:eastAsiaTheme="majorEastAsia" w:hAnsiTheme="majorHAnsi" w:cstheme="majorBidi"/>
      <w:b/>
      <w:iCs/>
      <w:color w:val="617076"/>
      <w:spacing w:val="15"/>
      <w:sz w:val="40"/>
    </w:rPr>
  </w:style>
  <w:style w:type="character" w:customStyle="1" w:styleId="SubtitleChar">
    <w:name w:val="Subtitle Char"/>
    <w:basedOn w:val="DefaultParagraphFont"/>
    <w:link w:val="Subtitle"/>
    <w:uiPriority w:val="4"/>
    <w:rsid w:val="004377CC"/>
    <w:rPr>
      <w:rFonts w:asciiTheme="majorHAnsi" w:eastAsiaTheme="majorEastAsia" w:hAnsiTheme="majorHAnsi" w:cstheme="majorBidi"/>
      <w:b/>
      <w:iCs/>
      <w:color w:val="617076"/>
      <w:spacing w:val="15"/>
      <w:sz w:val="40"/>
    </w:rPr>
  </w:style>
  <w:style w:type="character" w:styleId="Strong">
    <w:name w:val="Strong"/>
    <w:basedOn w:val="DefaultParagraphFont"/>
    <w:uiPriority w:val="22"/>
    <w:semiHidden/>
    <w:qFormat/>
    <w:rsid w:val="00104F1A"/>
    <w:rPr>
      <w:b/>
      <w:bCs/>
      <w:color w:val="auto"/>
    </w:rPr>
  </w:style>
  <w:style w:type="paragraph" w:customStyle="1" w:styleId="Paperdetails">
    <w:name w:val="Paper details"/>
    <w:basedOn w:val="Normal"/>
    <w:uiPriority w:val="7"/>
    <w:semiHidden/>
    <w:rsid w:val="00C53A18"/>
    <w:pPr>
      <w:pBdr>
        <w:top w:val="single" w:sz="8" w:space="5" w:color="00D29A" w:themeColor="background2"/>
      </w:pBdr>
      <w:spacing w:after="140" w:line="300" w:lineRule="exact"/>
      <w:ind w:left="-1418" w:right="7088"/>
      <w:contextualSpacing/>
    </w:pPr>
    <w:rPr>
      <w:b/>
      <w:color w:val="303B41" w:themeColor="text2"/>
      <w:sz w:val="20"/>
    </w:rPr>
  </w:style>
  <w:style w:type="character" w:styleId="PageNumber">
    <w:name w:val="page number"/>
    <w:uiPriority w:val="99"/>
    <w:unhideWhenUsed/>
    <w:rsid w:val="004D25F3"/>
    <w:rPr>
      <w:b/>
      <w:color w:val="008059" w:themeColor="accent2"/>
      <w:sz w:val="22"/>
    </w:rPr>
  </w:style>
  <w:style w:type="character" w:customStyle="1" w:styleId="Heading1Char">
    <w:name w:val="Heading 1 Char"/>
    <w:basedOn w:val="DefaultParagraphFont"/>
    <w:link w:val="Heading1"/>
    <w:uiPriority w:val="1"/>
    <w:rsid w:val="004377CC"/>
    <w:rPr>
      <w:rFonts w:asciiTheme="majorHAnsi" w:eastAsiaTheme="majorEastAsia" w:hAnsiTheme="majorHAnsi" w:cstheme="majorBidi"/>
      <w:b/>
      <w:bCs/>
      <w:color w:val="263238"/>
      <w:sz w:val="40"/>
      <w:szCs w:val="32"/>
    </w:rPr>
  </w:style>
  <w:style w:type="paragraph" w:customStyle="1" w:styleId="PagerunningheadLeftPagefurniture">
    <w:name w:val="• Page running head (Left) (Page furniture)"/>
    <w:uiPriority w:val="99"/>
    <w:qFormat/>
    <w:rsid w:val="004377CC"/>
    <w:pPr>
      <w:widowControl w:val="0"/>
      <w:suppressAutoHyphens/>
      <w:autoSpaceDE w:val="0"/>
      <w:autoSpaceDN w:val="0"/>
      <w:adjustRightInd w:val="0"/>
      <w:spacing w:after="240" w:line="240" w:lineRule="atLeast"/>
      <w:ind w:left="-1418" w:firstLine="142"/>
      <w:textAlignment w:val="center"/>
    </w:pPr>
    <w:rPr>
      <w:rFonts w:cs="Calibre-Semibold"/>
      <w:b/>
      <w:color w:val="617076"/>
      <w:sz w:val="22"/>
      <w:szCs w:val="18"/>
    </w:rPr>
  </w:style>
  <w:style w:type="character" w:customStyle="1" w:styleId="Heading2Char">
    <w:name w:val="Heading 2 Char"/>
    <w:basedOn w:val="DefaultParagraphFont"/>
    <w:link w:val="Heading2"/>
    <w:uiPriority w:val="1"/>
    <w:rsid w:val="004377CC"/>
    <w:rPr>
      <w:rFonts w:asciiTheme="majorHAnsi" w:eastAsiaTheme="majorEastAsia" w:hAnsiTheme="majorHAnsi" w:cstheme="majorBidi"/>
      <w:b/>
      <w:bCs/>
      <w:color w:val="617076"/>
      <w:sz w:val="27"/>
      <w:szCs w:val="27"/>
    </w:rPr>
  </w:style>
  <w:style w:type="paragraph" w:styleId="NormalWeb">
    <w:name w:val="Normal (Web)"/>
    <w:basedOn w:val="Normal"/>
    <w:uiPriority w:val="99"/>
    <w:semiHidden/>
    <w:unhideWhenUsed/>
    <w:rsid w:val="0028060C"/>
    <w:pPr>
      <w:spacing w:before="100" w:beforeAutospacing="1" w:after="100" w:afterAutospacing="1"/>
    </w:pPr>
    <w:rPr>
      <w:rFonts w:ascii="Times" w:hAnsi="Times" w:cs="Times New Roman"/>
      <w:sz w:val="20"/>
      <w:szCs w:val="20"/>
    </w:rPr>
  </w:style>
  <w:style w:type="character" w:customStyle="1" w:styleId="Heading3Char">
    <w:name w:val="Heading 3 Char"/>
    <w:basedOn w:val="DefaultParagraphFont"/>
    <w:link w:val="Heading3"/>
    <w:uiPriority w:val="1"/>
    <w:rsid w:val="004377CC"/>
    <w:rPr>
      <w:rFonts w:asciiTheme="majorHAnsi" w:eastAsiaTheme="majorEastAsia" w:hAnsiTheme="majorHAnsi" w:cstheme="majorBidi"/>
      <w:b/>
      <w:bCs/>
      <w:color w:val="263238"/>
      <w:sz w:val="22"/>
      <w:szCs w:val="18"/>
    </w:rPr>
  </w:style>
  <w:style w:type="table" w:styleId="TableGrid">
    <w:name w:val="Table Grid"/>
    <w:basedOn w:val="TableNormal"/>
    <w:uiPriority w:val="59"/>
    <w:rsid w:val="00E57581"/>
    <w:tblPr>
      <w:tblBorders>
        <w:bottom w:val="single" w:sz="6" w:space="0" w:color="00D29A" w:themeColor="background2"/>
        <w:insideH w:val="single" w:sz="6" w:space="0" w:color="00D29A" w:themeColor="background2"/>
      </w:tblBorders>
    </w:tblPr>
    <w:tcPr>
      <w:shd w:val="clear" w:color="auto" w:fill="auto"/>
      <w:vAlign w:val="center"/>
    </w:tcPr>
    <w:tblStylePr w:type="firstRow">
      <w:pPr>
        <w:jc w:val="left"/>
      </w:pPr>
      <w:tblPr/>
      <w:tcPr>
        <w:shd w:val="clear" w:color="auto" w:fill="00D29A" w:themeFill="background2"/>
      </w:tcPr>
    </w:tblStylePr>
  </w:style>
  <w:style w:type="paragraph" w:styleId="ListBullet">
    <w:name w:val="List Bullet"/>
    <w:basedOn w:val="Normal"/>
    <w:uiPriority w:val="99"/>
    <w:unhideWhenUsed/>
    <w:qFormat/>
    <w:rsid w:val="00BE6AC9"/>
    <w:pPr>
      <w:numPr>
        <w:numId w:val="1"/>
      </w:numPr>
      <w:ind w:left="357" w:right="567" w:hanging="357"/>
      <w:contextualSpacing/>
    </w:pPr>
  </w:style>
  <w:style w:type="paragraph" w:styleId="ListParagraph">
    <w:name w:val="List Paragraph"/>
    <w:basedOn w:val="Normal"/>
    <w:next w:val="Normal"/>
    <w:uiPriority w:val="34"/>
    <w:qFormat/>
    <w:rsid w:val="001035A7"/>
    <w:pPr>
      <w:numPr>
        <w:numId w:val="2"/>
      </w:numPr>
      <w:tabs>
        <w:tab w:val="left" w:pos="284"/>
      </w:tabs>
      <w:ind w:right="567"/>
      <w:contextualSpacing/>
    </w:pPr>
    <w:rPr>
      <w:rFonts w:cs="Times New Roman (Body CS)"/>
      <w:b/>
    </w:rPr>
  </w:style>
  <w:style w:type="paragraph" w:customStyle="1" w:styleId="TableFigureTitle">
    <w:name w:val="Table/Figure Title"/>
    <w:basedOn w:val="Normal"/>
    <w:uiPriority w:val="7"/>
    <w:qFormat/>
    <w:rsid w:val="00500E68"/>
    <w:pPr>
      <w:spacing w:after="140"/>
    </w:pPr>
    <w:rPr>
      <w:b/>
      <w:color w:val="303B41" w:themeColor="text2"/>
      <w:sz w:val="19"/>
    </w:rPr>
  </w:style>
  <w:style w:type="paragraph" w:customStyle="1" w:styleId="TableFigureSource">
    <w:name w:val="Table/Figure Source"/>
    <w:basedOn w:val="Normal"/>
    <w:uiPriority w:val="7"/>
    <w:qFormat/>
    <w:rsid w:val="001035A7"/>
    <w:pPr>
      <w:spacing w:before="140" w:line="200" w:lineRule="exact"/>
    </w:pPr>
    <w:rPr>
      <w:i/>
      <w:sz w:val="20"/>
    </w:rPr>
  </w:style>
  <w:style w:type="character" w:customStyle="1" w:styleId="Heading4Char">
    <w:name w:val="Heading 4 Char"/>
    <w:basedOn w:val="DefaultParagraphFont"/>
    <w:link w:val="Heading4"/>
    <w:uiPriority w:val="1"/>
    <w:rsid w:val="002366C2"/>
    <w:rPr>
      <w:rFonts w:asciiTheme="majorHAnsi" w:eastAsiaTheme="majorEastAsia" w:hAnsiTheme="majorHAnsi" w:cstheme="majorBidi"/>
      <w:b/>
      <w:bCs/>
      <w:iCs/>
      <w:color w:val="303B41" w:themeColor="text2"/>
      <w:sz w:val="22"/>
      <w:szCs w:val="18"/>
    </w:rPr>
  </w:style>
  <w:style w:type="paragraph" w:styleId="Quote">
    <w:name w:val="Quote"/>
    <w:basedOn w:val="Normal"/>
    <w:next w:val="Normal"/>
    <w:link w:val="QuoteChar"/>
    <w:uiPriority w:val="29"/>
    <w:qFormat/>
    <w:rsid w:val="00E308D8"/>
    <w:pPr>
      <w:spacing w:before="300" w:after="60" w:line="280" w:lineRule="exact"/>
      <w:ind w:right="1134"/>
    </w:pPr>
    <w:rPr>
      <w:b/>
      <w:bCs/>
      <w:color w:val="595959" w:themeColor="text1" w:themeTint="A6"/>
      <w:sz w:val="24"/>
      <w:szCs w:val="20"/>
    </w:rPr>
  </w:style>
  <w:style w:type="paragraph" w:customStyle="1" w:styleId="BoxHeading">
    <w:name w:val="Box Heading"/>
    <w:basedOn w:val="Normal"/>
    <w:uiPriority w:val="4"/>
    <w:qFormat/>
    <w:rsid w:val="004377CC"/>
    <w:pPr>
      <w:pBdr>
        <w:top w:val="single" w:sz="8" w:space="4" w:color="00D29A" w:themeColor="background2"/>
      </w:pBdr>
      <w:spacing w:after="0" w:line="260" w:lineRule="exact"/>
    </w:pPr>
    <w:rPr>
      <w:rFonts w:asciiTheme="majorHAnsi" w:hAnsiTheme="majorHAnsi"/>
      <w:b/>
      <w:bCs/>
      <w:caps/>
      <w:color w:val="617076"/>
      <w:szCs w:val="22"/>
    </w:rPr>
  </w:style>
  <w:style w:type="paragraph" w:customStyle="1" w:styleId="BoxSubheading">
    <w:name w:val="Box Subheading"/>
    <w:basedOn w:val="BoxHeading"/>
    <w:uiPriority w:val="4"/>
    <w:rsid w:val="00500E68"/>
    <w:pPr>
      <w:pBdr>
        <w:top w:val="none" w:sz="0" w:space="0" w:color="auto"/>
      </w:pBdr>
      <w:spacing w:after="140" w:line="240" w:lineRule="exact"/>
    </w:pPr>
    <w:rPr>
      <w:b w:val="0"/>
      <w:sz w:val="20"/>
    </w:rPr>
  </w:style>
  <w:style w:type="paragraph" w:customStyle="1" w:styleId="BoxTextFirst">
    <w:name w:val="Box Text First"/>
    <w:basedOn w:val="Normal"/>
    <w:uiPriority w:val="4"/>
    <w:qFormat/>
    <w:rsid w:val="002C03D0"/>
    <w:pPr>
      <w:spacing w:after="140"/>
    </w:pPr>
  </w:style>
  <w:style w:type="paragraph" w:customStyle="1" w:styleId="BoxTextLast">
    <w:name w:val="Box Text Last"/>
    <w:basedOn w:val="Normal"/>
    <w:uiPriority w:val="4"/>
    <w:qFormat/>
    <w:rsid w:val="002C03D0"/>
    <w:pPr>
      <w:pBdr>
        <w:bottom w:val="single" w:sz="8" w:space="4" w:color="00D29A" w:themeColor="background2"/>
      </w:pBdr>
    </w:pPr>
  </w:style>
  <w:style w:type="character" w:customStyle="1" w:styleId="QuoteChar">
    <w:name w:val="Quote Char"/>
    <w:basedOn w:val="DefaultParagraphFont"/>
    <w:link w:val="Quote"/>
    <w:uiPriority w:val="29"/>
    <w:rsid w:val="00E308D8"/>
    <w:rPr>
      <w:b/>
      <w:bCs/>
      <w:color w:val="595959" w:themeColor="text1" w:themeTint="A6"/>
      <w:szCs w:val="20"/>
    </w:rPr>
  </w:style>
  <w:style w:type="paragraph" w:styleId="EndnoteText">
    <w:name w:val="endnote text"/>
    <w:basedOn w:val="Normal"/>
    <w:link w:val="EndnoteTextChar"/>
    <w:uiPriority w:val="99"/>
    <w:unhideWhenUsed/>
    <w:rsid w:val="00CD6C67"/>
    <w:pPr>
      <w:spacing w:after="80"/>
    </w:pPr>
    <w:rPr>
      <w:sz w:val="20"/>
    </w:rPr>
  </w:style>
  <w:style w:type="paragraph" w:customStyle="1" w:styleId="Quotecredit">
    <w:name w:val="Quote credit"/>
    <w:basedOn w:val="Normal"/>
    <w:uiPriority w:val="7"/>
    <w:qFormat/>
    <w:rsid w:val="00CD7F8C"/>
    <w:rPr>
      <w:b/>
      <w:color w:val="303B41" w:themeColor="text2"/>
      <w:lang w:val="en-US"/>
    </w:rPr>
  </w:style>
  <w:style w:type="character" w:customStyle="1" w:styleId="EndnoteTextChar">
    <w:name w:val="Endnote Text Char"/>
    <w:basedOn w:val="DefaultParagraphFont"/>
    <w:link w:val="EndnoteText"/>
    <w:uiPriority w:val="99"/>
    <w:rsid w:val="00CD6C67"/>
    <w:rPr>
      <w:color w:val="000000" w:themeColor="text1"/>
      <w:sz w:val="20"/>
      <w:szCs w:val="18"/>
    </w:rPr>
  </w:style>
  <w:style w:type="character" w:styleId="EndnoteReference">
    <w:name w:val="endnote reference"/>
    <w:basedOn w:val="DefaultParagraphFont"/>
    <w:uiPriority w:val="99"/>
    <w:unhideWhenUsed/>
    <w:rsid w:val="002E677E"/>
    <w:rPr>
      <w:b/>
      <w:color w:val="008059" w:themeColor="accent2"/>
      <w:vertAlign w:val="superscript"/>
    </w:rPr>
  </w:style>
  <w:style w:type="character" w:styleId="Emphasis">
    <w:name w:val="Emphasis"/>
    <w:basedOn w:val="DefaultParagraphFont"/>
    <w:uiPriority w:val="20"/>
    <w:semiHidden/>
    <w:rsid w:val="005D2194"/>
    <w:rPr>
      <w:i/>
      <w:iCs/>
    </w:rPr>
  </w:style>
  <w:style w:type="paragraph" w:styleId="FootnoteText">
    <w:name w:val="footnote text"/>
    <w:basedOn w:val="Normal"/>
    <w:link w:val="FootnoteTextChar"/>
    <w:uiPriority w:val="99"/>
    <w:unhideWhenUsed/>
    <w:rsid w:val="00CD6C67"/>
    <w:pPr>
      <w:spacing w:after="80" w:line="200" w:lineRule="exact"/>
    </w:pPr>
    <w:rPr>
      <w:color w:val="303B41" w:themeColor="text2"/>
      <w:sz w:val="20"/>
    </w:rPr>
  </w:style>
  <w:style w:type="character" w:styleId="Hyperlink">
    <w:name w:val="Hyperlink"/>
    <w:basedOn w:val="DefaultParagraphFont"/>
    <w:uiPriority w:val="99"/>
    <w:unhideWhenUsed/>
    <w:qFormat/>
    <w:rsid w:val="005D2194"/>
    <w:rPr>
      <w:color w:val="008059" w:themeColor="hyperlink"/>
      <w:u w:val="single"/>
    </w:rPr>
  </w:style>
  <w:style w:type="character" w:customStyle="1" w:styleId="FootnoteTextChar">
    <w:name w:val="Footnote Text Char"/>
    <w:basedOn w:val="DefaultParagraphFont"/>
    <w:link w:val="FootnoteText"/>
    <w:uiPriority w:val="99"/>
    <w:rsid w:val="00CD6C67"/>
    <w:rPr>
      <w:color w:val="303B41" w:themeColor="text2"/>
      <w:sz w:val="20"/>
      <w:szCs w:val="18"/>
    </w:rPr>
  </w:style>
  <w:style w:type="character" w:styleId="FootnoteReference">
    <w:name w:val="footnote reference"/>
    <w:basedOn w:val="DefaultParagraphFont"/>
    <w:uiPriority w:val="99"/>
    <w:unhideWhenUsed/>
    <w:rsid w:val="004377CC"/>
    <w:rPr>
      <w:b/>
      <w:color w:val="263238"/>
      <w:vertAlign w:val="superscript"/>
    </w:rPr>
  </w:style>
  <w:style w:type="paragraph" w:customStyle="1" w:styleId="ImprintPagefurnitureimprint">
    <w:name w:val="• Imprint (Page furniture / imprint)"/>
    <w:basedOn w:val="Normal"/>
    <w:uiPriority w:val="99"/>
    <w:rsid w:val="004818B6"/>
    <w:pPr>
      <w:widowControl w:val="0"/>
      <w:suppressAutoHyphens/>
      <w:autoSpaceDE w:val="0"/>
      <w:autoSpaceDN w:val="0"/>
      <w:adjustRightInd w:val="0"/>
      <w:spacing w:after="0"/>
      <w:textAlignment w:val="center"/>
    </w:pPr>
    <w:rPr>
      <w:rFonts w:ascii="Calibre-Regular" w:hAnsi="Calibre-Regular" w:cs="Calibre-Regular"/>
      <w:color w:val="000000"/>
      <w:sz w:val="21"/>
      <w:szCs w:val="21"/>
    </w:rPr>
  </w:style>
  <w:style w:type="paragraph" w:styleId="Bibliography">
    <w:name w:val="Bibliography"/>
    <w:basedOn w:val="Normal"/>
    <w:uiPriority w:val="37"/>
    <w:unhideWhenUsed/>
    <w:rsid w:val="003268A2"/>
    <w:pPr>
      <w:spacing w:after="240" w:line="240" w:lineRule="exact"/>
    </w:pPr>
  </w:style>
  <w:style w:type="paragraph" w:customStyle="1" w:styleId="ImprinttopicPagefurnitureimprint">
    <w:name w:val="• Imprint topic (Page furniture / imprint)"/>
    <w:basedOn w:val="ImprintPagefurnitureimprint"/>
    <w:uiPriority w:val="99"/>
    <w:rsid w:val="004818B6"/>
    <w:pPr>
      <w:spacing w:before="113"/>
    </w:pPr>
    <w:rPr>
      <w:rFonts w:ascii="Calibre-Semibold" w:hAnsi="Calibre-Semibold" w:cs="Calibre-Semibold"/>
    </w:rPr>
  </w:style>
  <w:style w:type="paragraph" w:styleId="TOC1">
    <w:name w:val="toc 1"/>
    <w:basedOn w:val="Normal"/>
    <w:next w:val="Normal"/>
    <w:uiPriority w:val="39"/>
    <w:unhideWhenUsed/>
    <w:qFormat/>
    <w:rsid w:val="00C53A18"/>
    <w:pPr>
      <w:spacing w:line="300" w:lineRule="exact"/>
      <w:ind w:right="0"/>
    </w:pPr>
    <w:rPr>
      <w:b/>
      <w:color w:val="303B41" w:themeColor="text2"/>
    </w:rPr>
  </w:style>
  <w:style w:type="paragraph" w:customStyle="1" w:styleId="Imprintdetails">
    <w:name w:val="Imprint details"/>
    <w:basedOn w:val="Normal"/>
    <w:uiPriority w:val="7"/>
    <w:semiHidden/>
    <w:qFormat/>
    <w:rsid w:val="00706C66"/>
    <w:rPr>
      <w:color w:val="303B41" w:themeColor="text2"/>
      <w:sz w:val="21"/>
      <w:szCs w:val="21"/>
    </w:rPr>
  </w:style>
  <w:style w:type="paragraph" w:styleId="TOC2">
    <w:name w:val="toc 2"/>
    <w:basedOn w:val="Normal"/>
    <w:next w:val="Normal"/>
    <w:uiPriority w:val="39"/>
    <w:unhideWhenUsed/>
    <w:qFormat/>
    <w:rsid w:val="002366C2"/>
    <w:pPr>
      <w:tabs>
        <w:tab w:val="right" w:leader="dot" w:pos="10076"/>
      </w:tabs>
      <w:spacing w:line="300" w:lineRule="exact"/>
      <w:ind w:right="0"/>
    </w:pPr>
    <w:rPr>
      <w:noProof/>
      <w:color w:val="303B41" w:themeColor="text2"/>
    </w:rPr>
  </w:style>
  <w:style w:type="paragraph" w:styleId="TOC3">
    <w:name w:val="toc 3"/>
    <w:basedOn w:val="Normal"/>
    <w:next w:val="Normal"/>
    <w:uiPriority w:val="39"/>
    <w:unhideWhenUsed/>
    <w:qFormat/>
    <w:rsid w:val="0067137E"/>
    <w:pPr>
      <w:spacing w:line="300" w:lineRule="exact"/>
    </w:pPr>
    <w:rPr>
      <w:color w:val="303B41" w:themeColor="text2"/>
    </w:rPr>
  </w:style>
  <w:style w:type="paragraph" w:styleId="TOC4">
    <w:name w:val="toc 4"/>
    <w:basedOn w:val="Normal"/>
    <w:next w:val="Normal"/>
    <w:autoRedefine/>
    <w:uiPriority w:val="39"/>
    <w:unhideWhenUsed/>
    <w:rsid w:val="00DE1D58"/>
    <w:pPr>
      <w:ind w:left="540"/>
    </w:pPr>
  </w:style>
  <w:style w:type="paragraph" w:styleId="TOC5">
    <w:name w:val="toc 5"/>
    <w:basedOn w:val="Normal"/>
    <w:next w:val="Normal"/>
    <w:autoRedefine/>
    <w:uiPriority w:val="39"/>
    <w:unhideWhenUsed/>
    <w:rsid w:val="00DE1D58"/>
    <w:pPr>
      <w:ind w:left="720"/>
    </w:pPr>
  </w:style>
  <w:style w:type="paragraph" w:styleId="TOC6">
    <w:name w:val="toc 6"/>
    <w:basedOn w:val="Normal"/>
    <w:next w:val="Normal"/>
    <w:autoRedefine/>
    <w:uiPriority w:val="39"/>
    <w:unhideWhenUsed/>
    <w:rsid w:val="00DE1D58"/>
    <w:pPr>
      <w:ind w:left="900"/>
    </w:pPr>
  </w:style>
  <w:style w:type="paragraph" w:styleId="TOC7">
    <w:name w:val="toc 7"/>
    <w:basedOn w:val="Normal"/>
    <w:next w:val="Normal"/>
    <w:autoRedefine/>
    <w:uiPriority w:val="39"/>
    <w:unhideWhenUsed/>
    <w:rsid w:val="00DE1D58"/>
    <w:pPr>
      <w:ind w:left="1080"/>
    </w:pPr>
  </w:style>
  <w:style w:type="paragraph" w:styleId="TOC8">
    <w:name w:val="toc 8"/>
    <w:basedOn w:val="Normal"/>
    <w:next w:val="Normal"/>
    <w:autoRedefine/>
    <w:uiPriority w:val="39"/>
    <w:unhideWhenUsed/>
    <w:rsid w:val="00DE1D58"/>
    <w:pPr>
      <w:ind w:left="1260"/>
    </w:pPr>
  </w:style>
  <w:style w:type="paragraph" w:styleId="TOC9">
    <w:name w:val="toc 9"/>
    <w:basedOn w:val="Normal"/>
    <w:next w:val="Normal"/>
    <w:autoRedefine/>
    <w:uiPriority w:val="39"/>
    <w:unhideWhenUsed/>
    <w:rsid w:val="00DE1D58"/>
    <w:pPr>
      <w:ind w:left="1440"/>
    </w:pPr>
  </w:style>
  <w:style w:type="paragraph" w:customStyle="1" w:styleId="Authordetails">
    <w:name w:val="Author details"/>
    <w:basedOn w:val="Paperdetails"/>
    <w:uiPriority w:val="4"/>
    <w:rsid w:val="00C22EC2"/>
    <w:pPr>
      <w:spacing w:after="300"/>
    </w:pPr>
    <w:rPr>
      <w:b w:val="0"/>
      <w:sz w:val="24"/>
    </w:rPr>
  </w:style>
  <w:style w:type="character" w:styleId="FollowedHyperlink">
    <w:name w:val="FollowedHyperlink"/>
    <w:basedOn w:val="DefaultParagraphFont"/>
    <w:uiPriority w:val="99"/>
    <w:unhideWhenUsed/>
    <w:rsid w:val="00B658B9"/>
    <w:rPr>
      <w:color w:val="008059" w:themeColor="accent2"/>
      <w:u w:val="single"/>
    </w:rPr>
  </w:style>
  <w:style w:type="paragraph" w:styleId="IntenseQuote">
    <w:name w:val="Intense Quote"/>
    <w:basedOn w:val="Normal"/>
    <w:next w:val="Normal"/>
    <w:link w:val="IntenseQuoteChar"/>
    <w:uiPriority w:val="8"/>
    <w:rsid w:val="002E677E"/>
    <w:pPr>
      <w:pBdr>
        <w:top w:val="single" w:sz="4" w:space="10" w:color="00D29A" w:themeColor="accent1"/>
        <w:bottom w:val="single" w:sz="4" w:space="10" w:color="00D29A" w:themeColor="accent1"/>
      </w:pBdr>
      <w:spacing w:before="360" w:after="360"/>
      <w:ind w:left="864" w:right="864"/>
      <w:jc w:val="center"/>
    </w:pPr>
    <w:rPr>
      <w:i/>
      <w:iCs/>
      <w:color w:val="008059" w:themeColor="accent2"/>
      <w:sz w:val="24"/>
    </w:rPr>
  </w:style>
  <w:style w:type="character" w:customStyle="1" w:styleId="IntenseQuoteChar">
    <w:name w:val="Intense Quote Char"/>
    <w:basedOn w:val="DefaultParagraphFont"/>
    <w:link w:val="IntenseQuote"/>
    <w:uiPriority w:val="8"/>
    <w:rsid w:val="00B9670E"/>
    <w:rPr>
      <w:i/>
      <w:iCs/>
      <w:color w:val="008059" w:themeColor="accent2"/>
      <w:szCs w:val="18"/>
    </w:rPr>
  </w:style>
  <w:style w:type="character" w:customStyle="1" w:styleId="Heading5Char">
    <w:name w:val="Heading 5 Char"/>
    <w:basedOn w:val="DefaultParagraphFont"/>
    <w:link w:val="Heading5"/>
    <w:uiPriority w:val="9"/>
    <w:rsid w:val="001035A7"/>
    <w:rPr>
      <w:rFonts w:asciiTheme="majorHAnsi" w:eastAsiaTheme="majorEastAsia" w:hAnsiTheme="majorHAnsi" w:cstheme="majorBidi"/>
      <w:color w:val="303B41" w:themeColor="text2"/>
      <w:sz w:val="22"/>
      <w:szCs w:val="18"/>
    </w:rPr>
  </w:style>
  <w:style w:type="character" w:customStyle="1" w:styleId="Heading6Char">
    <w:name w:val="Heading 6 Char"/>
    <w:basedOn w:val="DefaultParagraphFont"/>
    <w:link w:val="Heading6"/>
    <w:uiPriority w:val="9"/>
    <w:semiHidden/>
    <w:rsid w:val="003546FA"/>
    <w:rPr>
      <w:rFonts w:asciiTheme="majorHAnsi" w:eastAsiaTheme="majorEastAsia" w:hAnsiTheme="majorHAnsi" w:cstheme="majorBidi"/>
      <w:color w:val="303B41" w:themeColor="text2"/>
      <w:sz w:val="22"/>
      <w:szCs w:val="18"/>
    </w:rPr>
  </w:style>
  <w:style w:type="character" w:styleId="IntenseEmphasis">
    <w:name w:val="Intense Emphasis"/>
    <w:basedOn w:val="DefaultParagraphFont"/>
    <w:uiPriority w:val="21"/>
    <w:semiHidden/>
    <w:rsid w:val="002E677E"/>
    <w:rPr>
      <w:i/>
      <w:iCs/>
      <w:color w:val="008059" w:themeColor="accent2"/>
    </w:rPr>
  </w:style>
  <w:style w:type="character" w:styleId="IntenseReference">
    <w:name w:val="Intense Reference"/>
    <w:basedOn w:val="DefaultParagraphFont"/>
    <w:uiPriority w:val="32"/>
    <w:rsid w:val="002E677E"/>
    <w:rPr>
      <w:b/>
      <w:bCs/>
      <w:smallCaps/>
      <w:color w:val="008059" w:themeColor="accent2"/>
      <w:spacing w:val="5"/>
    </w:rPr>
  </w:style>
  <w:style w:type="paragraph" w:styleId="NoSpacing">
    <w:name w:val="No Spacing"/>
    <w:uiPriority w:val="4"/>
    <w:qFormat/>
    <w:rsid w:val="00BE6AC9"/>
    <w:pPr>
      <w:ind w:right="284"/>
    </w:pPr>
    <w:rPr>
      <w:color w:val="000000" w:themeColor="text1"/>
      <w:sz w:val="22"/>
      <w:szCs w:val="18"/>
    </w:rPr>
  </w:style>
  <w:style w:type="character" w:customStyle="1" w:styleId="Heading7Char">
    <w:name w:val="Heading 7 Char"/>
    <w:basedOn w:val="DefaultParagraphFont"/>
    <w:link w:val="Heading7"/>
    <w:uiPriority w:val="9"/>
    <w:semiHidden/>
    <w:rsid w:val="00667874"/>
    <w:rPr>
      <w:rFonts w:asciiTheme="majorHAnsi" w:eastAsiaTheme="majorEastAsia" w:hAnsiTheme="majorHAnsi" w:cstheme="majorBidi"/>
      <w:i/>
      <w:iCs/>
      <w:color w:val="00684C" w:themeColor="accent1" w:themeShade="7F"/>
      <w:sz w:val="22"/>
      <w:szCs w:val="18"/>
    </w:rPr>
  </w:style>
  <w:style w:type="character" w:customStyle="1" w:styleId="Heading8Char">
    <w:name w:val="Heading 8 Char"/>
    <w:basedOn w:val="DefaultParagraphFont"/>
    <w:link w:val="Heading8"/>
    <w:uiPriority w:val="9"/>
    <w:semiHidden/>
    <w:rsid w:val="006678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67874"/>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667874"/>
    <w:pPr>
      <w:spacing w:after="200" w:line="240" w:lineRule="auto"/>
      <w:ind w:right="0"/>
    </w:pPr>
    <w:rPr>
      <w:rFonts w:eastAsiaTheme="minorHAnsi"/>
      <w:i/>
      <w:iCs/>
      <w:color w:val="303B41" w:themeColor="text2"/>
      <w:sz w:val="18"/>
    </w:rPr>
  </w:style>
  <w:style w:type="character" w:styleId="CommentReference">
    <w:name w:val="annotation reference"/>
    <w:basedOn w:val="DefaultParagraphFont"/>
    <w:uiPriority w:val="99"/>
    <w:semiHidden/>
    <w:unhideWhenUsed/>
    <w:rsid w:val="007A50D4"/>
    <w:rPr>
      <w:sz w:val="16"/>
      <w:szCs w:val="16"/>
    </w:rPr>
  </w:style>
  <w:style w:type="paragraph" w:styleId="CommentText">
    <w:name w:val="annotation text"/>
    <w:basedOn w:val="Normal"/>
    <w:link w:val="CommentTextChar"/>
    <w:uiPriority w:val="99"/>
    <w:semiHidden/>
    <w:unhideWhenUsed/>
    <w:rsid w:val="007A50D4"/>
    <w:pPr>
      <w:spacing w:line="240" w:lineRule="auto"/>
    </w:pPr>
    <w:rPr>
      <w:sz w:val="20"/>
      <w:szCs w:val="20"/>
    </w:rPr>
  </w:style>
  <w:style w:type="character" w:customStyle="1" w:styleId="CommentTextChar">
    <w:name w:val="Comment Text Char"/>
    <w:basedOn w:val="DefaultParagraphFont"/>
    <w:link w:val="CommentText"/>
    <w:uiPriority w:val="99"/>
    <w:semiHidden/>
    <w:rsid w:val="007A50D4"/>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A50D4"/>
    <w:rPr>
      <w:b/>
      <w:bCs/>
    </w:rPr>
  </w:style>
  <w:style w:type="character" w:customStyle="1" w:styleId="CommentSubjectChar">
    <w:name w:val="Comment Subject Char"/>
    <w:basedOn w:val="CommentTextChar"/>
    <w:link w:val="CommentSubject"/>
    <w:uiPriority w:val="99"/>
    <w:semiHidden/>
    <w:rsid w:val="007A50D4"/>
    <w:rPr>
      <w:b/>
      <w:bCs/>
      <w:color w:val="000000" w:themeColor="text1"/>
      <w:sz w:val="20"/>
      <w:szCs w:val="20"/>
    </w:rPr>
  </w:style>
  <w:style w:type="paragraph" w:styleId="Revision">
    <w:name w:val="Revision"/>
    <w:hidden/>
    <w:uiPriority w:val="99"/>
    <w:semiHidden/>
    <w:rsid w:val="003C06B8"/>
    <w:rPr>
      <w:color w:val="000000" w:themeColor="text1"/>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878">
      <w:bodyDiv w:val="1"/>
      <w:marLeft w:val="0"/>
      <w:marRight w:val="0"/>
      <w:marTop w:val="0"/>
      <w:marBottom w:val="0"/>
      <w:divBdr>
        <w:top w:val="none" w:sz="0" w:space="0" w:color="auto"/>
        <w:left w:val="none" w:sz="0" w:space="0" w:color="auto"/>
        <w:bottom w:val="none" w:sz="0" w:space="0" w:color="auto"/>
        <w:right w:val="none" w:sz="0" w:space="0" w:color="auto"/>
      </w:divBdr>
    </w:div>
    <w:div w:id="41684432">
      <w:bodyDiv w:val="1"/>
      <w:marLeft w:val="0"/>
      <w:marRight w:val="0"/>
      <w:marTop w:val="0"/>
      <w:marBottom w:val="0"/>
      <w:divBdr>
        <w:top w:val="none" w:sz="0" w:space="0" w:color="auto"/>
        <w:left w:val="none" w:sz="0" w:space="0" w:color="auto"/>
        <w:bottom w:val="none" w:sz="0" w:space="0" w:color="auto"/>
        <w:right w:val="none" w:sz="0" w:space="0" w:color="auto"/>
      </w:divBdr>
      <w:divsChild>
        <w:div w:id="1328943442">
          <w:marLeft w:val="0"/>
          <w:marRight w:val="0"/>
          <w:marTop w:val="0"/>
          <w:marBottom w:val="0"/>
          <w:divBdr>
            <w:top w:val="none" w:sz="0" w:space="0" w:color="auto"/>
            <w:left w:val="none" w:sz="0" w:space="0" w:color="auto"/>
            <w:bottom w:val="none" w:sz="0" w:space="0" w:color="auto"/>
            <w:right w:val="none" w:sz="0" w:space="0" w:color="auto"/>
          </w:divBdr>
          <w:divsChild>
            <w:div w:id="835536856">
              <w:marLeft w:val="0"/>
              <w:marRight w:val="0"/>
              <w:marTop w:val="0"/>
              <w:marBottom w:val="0"/>
              <w:divBdr>
                <w:top w:val="none" w:sz="0" w:space="0" w:color="auto"/>
                <w:left w:val="none" w:sz="0" w:space="0" w:color="auto"/>
                <w:bottom w:val="none" w:sz="0" w:space="0" w:color="auto"/>
                <w:right w:val="none" w:sz="0" w:space="0" w:color="auto"/>
              </w:divBdr>
              <w:divsChild>
                <w:div w:id="21185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926">
      <w:bodyDiv w:val="1"/>
      <w:marLeft w:val="0"/>
      <w:marRight w:val="0"/>
      <w:marTop w:val="0"/>
      <w:marBottom w:val="0"/>
      <w:divBdr>
        <w:top w:val="none" w:sz="0" w:space="0" w:color="auto"/>
        <w:left w:val="none" w:sz="0" w:space="0" w:color="auto"/>
        <w:bottom w:val="none" w:sz="0" w:space="0" w:color="auto"/>
        <w:right w:val="none" w:sz="0" w:space="0" w:color="auto"/>
      </w:divBdr>
    </w:div>
    <w:div w:id="205065126">
      <w:bodyDiv w:val="1"/>
      <w:marLeft w:val="0"/>
      <w:marRight w:val="0"/>
      <w:marTop w:val="0"/>
      <w:marBottom w:val="0"/>
      <w:divBdr>
        <w:top w:val="none" w:sz="0" w:space="0" w:color="auto"/>
        <w:left w:val="none" w:sz="0" w:space="0" w:color="auto"/>
        <w:bottom w:val="none" w:sz="0" w:space="0" w:color="auto"/>
        <w:right w:val="none" w:sz="0" w:space="0" w:color="auto"/>
      </w:divBdr>
    </w:div>
    <w:div w:id="275603079">
      <w:bodyDiv w:val="1"/>
      <w:marLeft w:val="0"/>
      <w:marRight w:val="0"/>
      <w:marTop w:val="0"/>
      <w:marBottom w:val="0"/>
      <w:divBdr>
        <w:top w:val="none" w:sz="0" w:space="0" w:color="auto"/>
        <w:left w:val="none" w:sz="0" w:space="0" w:color="auto"/>
        <w:bottom w:val="none" w:sz="0" w:space="0" w:color="auto"/>
        <w:right w:val="none" w:sz="0" w:space="0" w:color="auto"/>
      </w:divBdr>
    </w:div>
    <w:div w:id="369301812">
      <w:bodyDiv w:val="1"/>
      <w:marLeft w:val="0"/>
      <w:marRight w:val="0"/>
      <w:marTop w:val="0"/>
      <w:marBottom w:val="0"/>
      <w:divBdr>
        <w:top w:val="none" w:sz="0" w:space="0" w:color="auto"/>
        <w:left w:val="none" w:sz="0" w:space="0" w:color="auto"/>
        <w:bottom w:val="none" w:sz="0" w:space="0" w:color="auto"/>
        <w:right w:val="none" w:sz="0" w:space="0" w:color="auto"/>
      </w:divBdr>
    </w:div>
    <w:div w:id="535580136">
      <w:bodyDiv w:val="1"/>
      <w:marLeft w:val="0"/>
      <w:marRight w:val="0"/>
      <w:marTop w:val="0"/>
      <w:marBottom w:val="0"/>
      <w:divBdr>
        <w:top w:val="none" w:sz="0" w:space="0" w:color="auto"/>
        <w:left w:val="none" w:sz="0" w:space="0" w:color="auto"/>
        <w:bottom w:val="none" w:sz="0" w:space="0" w:color="auto"/>
        <w:right w:val="none" w:sz="0" w:space="0" w:color="auto"/>
      </w:divBdr>
      <w:divsChild>
        <w:div w:id="498689922">
          <w:marLeft w:val="432"/>
          <w:marRight w:val="432"/>
          <w:marTop w:val="150"/>
          <w:marBottom w:val="150"/>
          <w:divBdr>
            <w:top w:val="none" w:sz="0" w:space="0" w:color="auto"/>
            <w:left w:val="none" w:sz="0" w:space="0" w:color="auto"/>
            <w:bottom w:val="none" w:sz="0" w:space="0" w:color="auto"/>
            <w:right w:val="none" w:sz="0" w:space="0" w:color="auto"/>
          </w:divBdr>
        </w:div>
      </w:divsChild>
    </w:div>
    <w:div w:id="613749206">
      <w:bodyDiv w:val="1"/>
      <w:marLeft w:val="0"/>
      <w:marRight w:val="0"/>
      <w:marTop w:val="0"/>
      <w:marBottom w:val="0"/>
      <w:divBdr>
        <w:top w:val="none" w:sz="0" w:space="0" w:color="auto"/>
        <w:left w:val="none" w:sz="0" w:space="0" w:color="auto"/>
        <w:bottom w:val="none" w:sz="0" w:space="0" w:color="auto"/>
        <w:right w:val="none" w:sz="0" w:space="0" w:color="auto"/>
      </w:divBdr>
    </w:div>
    <w:div w:id="625280454">
      <w:bodyDiv w:val="1"/>
      <w:marLeft w:val="0"/>
      <w:marRight w:val="0"/>
      <w:marTop w:val="0"/>
      <w:marBottom w:val="0"/>
      <w:divBdr>
        <w:top w:val="none" w:sz="0" w:space="0" w:color="auto"/>
        <w:left w:val="none" w:sz="0" w:space="0" w:color="auto"/>
        <w:bottom w:val="none" w:sz="0" w:space="0" w:color="auto"/>
        <w:right w:val="none" w:sz="0" w:space="0" w:color="auto"/>
      </w:divBdr>
    </w:div>
    <w:div w:id="640304630">
      <w:bodyDiv w:val="1"/>
      <w:marLeft w:val="0"/>
      <w:marRight w:val="0"/>
      <w:marTop w:val="0"/>
      <w:marBottom w:val="0"/>
      <w:divBdr>
        <w:top w:val="none" w:sz="0" w:space="0" w:color="auto"/>
        <w:left w:val="none" w:sz="0" w:space="0" w:color="auto"/>
        <w:bottom w:val="none" w:sz="0" w:space="0" w:color="auto"/>
        <w:right w:val="none" w:sz="0" w:space="0" w:color="auto"/>
      </w:divBdr>
    </w:div>
    <w:div w:id="719938439">
      <w:bodyDiv w:val="1"/>
      <w:marLeft w:val="0"/>
      <w:marRight w:val="0"/>
      <w:marTop w:val="0"/>
      <w:marBottom w:val="0"/>
      <w:divBdr>
        <w:top w:val="none" w:sz="0" w:space="0" w:color="auto"/>
        <w:left w:val="none" w:sz="0" w:space="0" w:color="auto"/>
        <w:bottom w:val="none" w:sz="0" w:space="0" w:color="auto"/>
        <w:right w:val="none" w:sz="0" w:space="0" w:color="auto"/>
      </w:divBdr>
      <w:divsChild>
        <w:div w:id="1556043449">
          <w:marLeft w:val="0"/>
          <w:marRight w:val="0"/>
          <w:marTop w:val="0"/>
          <w:marBottom w:val="0"/>
          <w:divBdr>
            <w:top w:val="none" w:sz="0" w:space="0" w:color="auto"/>
            <w:left w:val="none" w:sz="0" w:space="0" w:color="auto"/>
            <w:bottom w:val="none" w:sz="0" w:space="0" w:color="auto"/>
            <w:right w:val="none" w:sz="0" w:space="0" w:color="auto"/>
          </w:divBdr>
          <w:divsChild>
            <w:div w:id="1711999443">
              <w:marLeft w:val="0"/>
              <w:marRight w:val="0"/>
              <w:marTop w:val="0"/>
              <w:marBottom w:val="0"/>
              <w:divBdr>
                <w:top w:val="none" w:sz="0" w:space="0" w:color="auto"/>
                <w:left w:val="none" w:sz="0" w:space="0" w:color="auto"/>
                <w:bottom w:val="none" w:sz="0" w:space="0" w:color="auto"/>
                <w:right w:val="none" w:sz="0" w:space="0" w:color="auto"/>
              </w:divBdr>
              <w:divsChild>
                <w:div w:id="202185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858201">
      <w:bodyDiv w:val="1"/>
      <w:marLeft w:val="0"/>
      <w:marRight w:val="0"/>
      <w:marTop w:val="0"/>
      <w:marBottom w:val="0"/>
      <w:divBdr>
        <w:top w:val="none" w:sz="0" w:space="0" w:color="auto"/>
        <w:left w:val="none" w:sz="0" w:space="0" w:color="auto"/>
        <w:bottom w:val="none" w:sz="0" w:space="0" w:color="auto"/>
        <w:right w:val="none" w:sz="0" w:space="0" w:color="auto"/>
      </w:divBdr>
    </w:div>
    <w:div w:id="915171212">
      <w:bodyDiv w:val="1"/>
      <w:marLeft w:val="0"/>
      <w:marRight w:val="0"/>
      <w:marTop w:val="0"/>
      <w:marBottom w:val="0"/>
      <w:divBdr>
        <w:top w:val="none" w:sz="0" w:space="0" w:color="auto"/>
        <w:left w:val="none" w:sz="0" w:space="0" w:color="auto"/>
        <w:bottom w:val="none" w:sz="0" w:space="0" w:color="auto"/>
        <w:right w:val="none" w:sz="0" w:space="0" w:color="auto"/>
      </w:divBdr>
    </w:div>
    <w:div w:id="926810652">
      <w:bodyDiv w:val="1"/>
      <w:marLeft w:val="0"/>
      <w:marRight w:val="0"/>
      <w:marTop w:val="0"/>
      <w:marBottom w:val="0"/>
      <w:divBdr>
        <w:top w:val="none" w:sz="0" w:space="0" w:color="auto"/>
        <w:left w:val="none" w:sz="0" w:space="0" w:color="auto"/>
        <w:bottom w:val="none" w:sz="0" w:space="0" w:color="auto"/>
        <w:right w:val="none" w:sz="0" w:space="0" w:color="auto"/>
      </w:divBdr>
    </w:div>
    <w:div w:id="954210855">
      <w:bodyDiv w:val="1"/>
      <w:marLeft w:val="0"/>
      <w:marRight w:val="0"/>
      <w:marTop w:val="0"/>
      <w:marBottom w:val="0"/>
      <w:divBdr>
        <w:top w:val="none" w:sz="0" w:space="0" w:color="auto"/>
        <w:left w:val="none" w:sz="0" w:space="0" w:color="auto"/>
        <w:bottom w:val="none" w:sz="0" w:space="0" w:color="auto"/>
        <w:right w:val="none" w:sz="0" w:space="0" w:color="auto"/>
      </w:divBdr>
    </w:div>
    <w:div w:id="956257519">
      <w:bodyDiv w:val="1"/>
      <w:marLeft w:val="0"/>
      <w:marRight w:val="0"/>
      <w:marTop w:val="0"/>
      <w:marBottom w:val="0"/>
      <w:divBdr>
        <w:top w:val="none" w:sz="0" w:space="0" w:color="auto"/>
        <w:left w:val="none" w:sz="0" w:space="0" w:color="auto"/>
        <w:bottom w:val="none" w:sz="0" w:space="0" w:color="auto"/>
        <w:right w:val="none" w:sz="0" w:space="0" w:color="auto"/>
      </w:divBdr>
    </w:div>
    <w:div w:id="1006444061">
      <w:bodyDiv w:val="1"/>
      <w:marLeft w:val="0"/>
      <w:marRight w:val="0"/>
      <w:marTop w:val="0"/>
      <w:marBottom w:val="0"/>
      <w:divBdr>
        <w:top w:val="none" w:sz="0" w:space="0" w:color="auto"/>
        <w:left w:val="none" w:sz="0" w:space="0" w:color="auto"/>
        <w:bottom w:val="none" w:sz="0" w:space="0" w:color="auto"/>
        <w:right w:val="none" w:sz="0" w:space="0" w:color="auto"/>
      </w:divBdr>
    </w:div>
    <w:div w:id="1303149350">
      <w:bodyDiv w:val="1"/>
      <w:marLeft w:val="0"/>
      <w:marRight w:val="0"/>
      <w:marTop w:val="0"/>
      <w:marBottom w:val="0"/>
      <w:divBdr>
        <w:top w:val="none" w:sz="0" w:space="0" w:color="auto"/>
        <w:left w:val="none" w:sz="0" w:space="0" w:color="auto"/>
        <w:bottom w:val="none" w:sz="0" w:space="0" w:color="auto"/>
        <w:right w:val="none" w:sz="0" w:space="0" w:color="auto"/>
      </w:divBdr>
    </w:div>
    <w:div w:id="1760982882">
      <w:bodyDiv w:val="1"/>
      <w:marLeft w:val="0"/>
      <w:marRight w:val="0"/>
      <w:marTop w:val="0"/>
      <w:marBottom w:val="0"/>
      <w:divBdr>
        <w:top w:val="none" w:sz="0" w:space="0" w:color="auto"/>
        <w:left w:val="none" w:sz="0" w:space="0" w:color="auto"/>
        <w:bottom w:val="none" w:sz="0" w:space="0" w:color="auto"/>
        <w:right w:val="none" w:sz="0" w:space="0" w:color="auto"/>
      </w:divBdr>
    </w:div>
    <w:div w:id="1911186740">
      <w:bodyDiv w:val="1"/>
      <w:marLeft w:val="0"/>
      <w:marRight w:val="0"/>
      <w:marTop w:val="0"/>
      <w:marBottom w:val="0"/>
      <w:divBdr>
        <w:top w:val="none" w:sz="0" w:space="0" w:color="auto"/>
        <w:left w:val="none" w:sz="0" w:space="0" w:color="auto"/>
        <w:bottom w:val="none" w:sz="0" w:space="0" w:color="auto"/>
        <w:right w:val="none" w:sz="0" w:space="0" w:color="auto"/>
      </w:divBdr>
    </w:div>
    <w:div w:id="1941834379">
      <w:bodyDiv w:val="1"/>
      <w:marLeft w:val="0"/>
      <w:marRight w:val="0"/>
      <w:marTop w:val="0"/>
      <w:marBottom w:val="0"/>
      <w:divBdr>
        <w:top w:val="none" w:sz="0" w:space="0" w:color="auto"/>
        <w:left w:val="none" w:sz="0" w:space="0" w:color="auto"/>
        <w:bottom w:val="none" w:sz="0" w:space="0" w:color="auto"/>
        <w:right w:val="none" w:sz="0" w:space="0" w:color="auto"/>
      </w:divBdr>
      <w:divsChild>
        <w:div w:id="313294763">
          <w:marLeft w:val="432"/>
          <w:marRight w:val="432"/>
          <w:marTop w:val="150"/>
          <w:marBottom w:val="150"/>
          <w:divBdr>
            <w:top w:val="none" w:sz="0" w:space="0" w:color="auto"/>
            <w:left w:val="none" w:sz="0" w:space="0" w:color="auto"/>
            <w:bottom w:val="none" w:sz="0" w:space="0" w:color="auto"/>
            <w:right w:val="none" w:sz="0" w:space="0" w:color="auto"/>
          </w:divBdr>
        </w:div>
      </w:divsChild>
    </w:div>
    <w:div w:id="2027098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SEI-Theme">
  <a:themeElements>
    <a:clrScheme name="SEI-Theme">
      <a:dk1>
        <a:srgbClr val="000000"/>
      </a:dk1>
      <a:lt1>
        <a:srgbClr val="FFFFFF"/>
      </a:lt1>
      <a:dk2>
        <a:srgbClr val="303B41"/>
      </a:dk2>
      <a:lt2>
        <a:srgbClr val="00D29A"/>
      </a:lt2>
      <a:accent1>
        <a:srgbClr val="00D29A"/>
      </a:accent1>
      <a:accent2>
        <a:srgbClr val="008059"/>
      </a:accent2>
      <a:accent3>
        <a:srgbClr val="FF5A59"/>
      </a:accent3>
      <a:accent4>
        <a:srgbClr val="5EDDDF"/>
      </a:accent4>
      <a:accent5>
        <a:srgbClr val="AFAAFF"/>
      </a:accent5>
      <a:accent6>
        <a:srgbClr val="FFDD0F"/>
      </a:accent6>
      <a:hlink>
        <a:srgbClr val="008059"/>
      </a:hlink>
      <a:folHlink>
        <a:srgbClr val="EBF0F8"/>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FF793F-DAFE-B24C-876B-4E7CFFB3C8CE}">
  <we:reference id="wa104380773" version="1.0.0.2" store="en-US" storeType="OMEX"/>
  <we:alternateReferences>
    <we:reference id="wa104380773" version="1.0.0.2"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65E6D-A7C1-2B47-A436-FD086970B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46</Pages>
  <Words>45022</Words>
  <Characters>256630</Characters>
  <Application>Microsoft Office Word</Application>
  <DocSecurity>0</DocSecurity>
  <Lines>2138</Lines>
  <Paragraphs>602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301050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Weitz</dc:creator>
  <cp:keywords/>
  <dc:description/>
  <cp:lastModifiedBy>Tom Gill</cp:lastModifiedBy>
  <cp:revision>10</cp:revision>
  <cp:lastPrinted>2018-05-01T14:47:00Z</cp:lastPrinted>
  <dcterms:created xsi:type="dcterms:W3CDTF">2018-11-12T10:03:00Z</dcterms:created>
  <dcterms:modified xsi:type="dcterms:W3CDTF">2018-11-12T11:41:00Z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zotero-version="5.0.57"&gt;&lt;session id="GGZNlT61"/&gt;&lt;style id="SEI-International-Style" hasBibliography="1" bibliographyStyleHasBeenSet="1"/&gt;&lt;prefs&gt;&lt;pref name="fieldType" value="Field"/&gt;&lt;pref name="automaticJournalAbbreviations" value="</vt:lpwstr>
  </property>
  <property fmtid="{D5CDD505-2E9C-101B-9397-08002B2CF9AE}" pid="3" name="ZOTERO_PREF_2">
    <vt:lpwstr>true"/&gt;&lt;pref name="dontAskDelayCitationUpdates" value="true"/&gt;&lt;/prefs&gt;&lt;/data&gt;</vt:lpwstr>
  </property>
</Properties>
</file>