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77CF" w14:textId="104F7A01" w:rsidR="00C86585" w:rsidRPr="0040520C" w:rsidRDefault="000A1641" w:rsidP="00361D1F">
      <w:pPr>
        <w:pStyle w:val="Ttulo"/>
        <w:ind w:right="2205"/>
        <w:rPr>
          <w:rFonts w:asciiTheme="majorHAnsi" w:hAnsiTheme="majorHAnsi" w:cstheme="majorHAnsi"/>
          <w:sz w:val="72"/>
          <w:szCs w:val="48"/>
          <w:lang w:val="es-CO"/>
        </w:rPr>
      </w:pPr>
      <w:r w:rsidRPr="000A1641">
        <w:rPr>
          <w:rFonts w:asciiTheme="majorHAnsi" w:hAnsiTheme="majorHAnsi" w:cstheme="majorHAnsi"/>
          <w:sz w:val="72"/>
          <w:szCs w:val="48"/>
          <w:lang w:val="es-CO"/>
        </w:rPr>
        <w:t>Instrumento de captura de información, aplicación a actores seleccionados y análisis de resultados</w:t>
      </w:r>
    </w:p>
    <w:p w14:paraId="68B9125D" w14:textId="3ABD0DEB" w:rsidR="00D77C9C" w:rsidRPr="00505D36" w:rsidRDefault="00CA5BD1" w:rsidP="00E9134E">
      <w:pPr>
        <w:pStyle w:val="Paperdetails"/>
        <w:rPr>
          <w:rFonts w:asciiTheme="majorHAnsi" w:hAnsiTheme="majorHAnsi" w:cstheme="majorHAnsi"/>
          <w:lang w:val="es-CO"/>
        </w:rPr>
      </w:pPr>
      <w:r w:rsidRPr="00505D36">
        <w:rPr>
          <w:rFonts w:asciiTheme="majorHAnsi" w:hAnsiTheme="majorHAnsi" w:cstheme="majorHAnsi"/>
          <w:lang w:val="es-CO"/>
        </w:rPr>
        <w:t>202</w:t>
      </w:r>
      <w:r w:rsidR="000A1641">
        <w:rPr>
          <w:rFonts w:asciiTheme="majorHAnsi" w:hAnsiTheme="majorHAnsi" w:cstheme="majorHAnsi"/>
          <w:lang w:val="es-CO"/>
        </w:rPr>
        <w:t>5</w:t>
      </w:r>
      <w:r w:rsidR="00D02F2D" w:rsidRPr="00505D36">
        <w:rPr>
          <w:rFonts w:asciiTheme="majorHAnsi" w:hAnsiTheme="majorHAnsi" w:cstheme="majorHAnsi"/>
          <w:lang w:val="es-CO"/>
        </w:rPr>
        <w:t xml:space="preserve"> </w:t>
      </w:r>
      <w:r w:rsidR="000A1641">
        <w:rPr>
          <w:rFonts w:asciiTheme="majorHAnsi" w:hAnsiTheme="majorHAnsi" w:cstheme="majorHAnsi"/>
          <w:lang w:val="es-CO"/>
        </w:rPr>
        <w:t>Nov</w:t>
      </w:r>
      <w:r w:rsidR="00233BD1">
        <w:rPr>
          <w:rFonts w:asciiTheme="majorHAnsi" w:hAnsiTheme="majorHAnsi" w:cstheme="majorHAnsi"/>
          <w:lang w:val="es-CO"/>
        </w:rPr>
        <w:t>iembre</w:t>
      </w:r>
    </w:p>
    <w:p w14:paraId="27AC15C0" w14:textId="5AE50CBF" w:rsidR="00A82CAF" w:rsidRPr="00505D36" w:rsidRDefault="00D02F2D" w:rsidP="00A82CAF">
      <w:pPr>
        <w:pStyle w:val="Authordetails"/>
        <w:rPr>
          <w:rFonts w:asciiTheme="majorHAnsi" w:hAnsiTheme="majorHAnsi" w:cstheme="majorHAnsi"/>
          <w:lang w:val="es-CO"/>
        </w:rPr>
      </w:pPr>
      <w:r w:rsidRPr="00505D36">
        <w:rPr>
          <w:rFonts w:asciiTheme="majorHAnsi" w:hAnsiTheme="majorHAnsi" w:cstheme="majorHAnsi"/>
          <w:lang w:val="es-CO"/>
        </w:rPr>
        <w:t>Escrito por</w:t>
      </w:r>
      <w:r w:rsidR="00A82CAF" w:rsidRPr="00505D36">
        <w:rPr>
          <w:rFonts w:asciiTheme="majorHAnsi" w:hAnsiTheme="majorHAnsi" w:cstheme="majorHAnsi"/>
          <w:lang w:val="es-CO"/>
        </w:rPr>
        <w:t>:</w:t>
      </w:r>
      <w:r w:rsidR="00F34765" w:rsidRPr="00505D36">
        <w:rPr>
          <w:rFonts w:asciiTheme="majorHAnsi" w:hAnsiTheme="majorHAnsi" w:cstheme="majorHAnsi"/>
          <w:lang w:val="es-CO"/>
        </w:rPr>
        <w:t xml:space="preserve"> </w:t>
      </w:r>
    </w:p>
    <w:p w14:paraId="0D64EFC1" w14:textId="77777777" w:rsidR="00270CBA" w:rsidRPr="004312DE" w:rsidRDefault="00270CBA" w:rsidP="00270CBA">
      <w:pPr>
        <w:pStyle w:val="Authordetails"/>
        <w:rPr>
          <w:rFonts w:asciiTheme="majorHAnsi" w:hAnsiTheme="majorHAnsi" w:cstheme="majorHAnsi"/>
          <w:lang w:val="es-CO"/>
        </w:rPr>
      </w:pPr>
      <w:r w:rsidRPr="004312DE">
        <w:rPr>
          <w:rFonts w:asciiTheme="majorHAnsi" w:hAnsiTheme="majorHAnsi" w:cstheme="majorHAnsi"/>
          <w:lang w:val="es-CO"/>
        </w:rPr>
        <w:t>Camilo Garzón</w:t>
      </w:r>
    </w:p>
    <w:p w14:paraId="1F84D9AB" w14:textId="132A65F7" w:rsidR="00A82CAF" w:rsidRPr="00505D36" w:rsidRDefault="00F34765" w:rsidP="00A82CAF">
      <w:pPr>
        <w:pStyle w:val="Authordetails"/>
        <w:rPr>
          <w:rFonts w:asciiTheme="majorHAnsi" w:hAnsiTheme="majorHAnsi" w:cstheme="majorHAnsi"/>
          <w:lang w:val="es-CO"/>
        </w:rPr>
      </w:pPr>
      <w:r w:rsidRPr="00505D36">
        <w:rPr>
          <w:rFonts w:asciiTheme="majorHAnsi" w:hAnsiTheme="majorHAnsi" w:cstheme="majorHAnsi"/>
          <w:lang w:val="es-CO"/>
        </w:rPr>
        <w:t>Mónica Truj</w:t>
      </w:r>
      <w:r w:rsidR="0044656B">
        <w:rPr>
          <w:rFonts w:asciiTheme="majorHAnsi" w:hAnsiTheme="majorHAnsi" w:cstheme="majorHAnsi"/>
          <w:lang w:val="es-CO"/>
        </w:rPr>
        <w:t>i</w:t>
      </w:r>
      <w:r w:rsidRPr="00505D36">
        <w:rPr>
          <w:rFonts w:asciiTheme="majorHAnsi" w:hAnsiTheme="majorHAnsi" w:cstheme="majorHAnsi"/>
          <w:lang w:val="es-CO"/>
        </w:rPr>
        <w:t>llo</w:t>
      </w:r>
      <w:r w:rsidR="00A82CAF" w:rsidRPr="00505D36">
        <w:rPr>
          <w:rFonts w:asciiTheme="majorHAnsi" w:hAnsiTheme="majorHAnsi" w:cstheme="majorHAnsi"/>
          <w:lang w:val="es-CO"/>
        </w:rPr>
        <w:t xml:space="preserve"> </w:t>
      </w:r>
    </w:p>
    <w:p w14:paraId="3ACE1766" w14:textId="12A05C6F" w:rsidR="00314BB0" w:rsidRDefault="1A17F537" w:rsidP="66E7FF71">
      <w:pPr>
        <w:pStyle w:val="Authordetails"/>
        <w:rPr>
          <w:rFonts w:asciiTheme="majorHAnsi" w:hAnsiTheme="majorHAnsi" w:cstheme="majorBidi"/>
          <w:lang w:val="es-CO"/>
        </w:rPr>
      </w:pPr>
      <w:r w:rsidRPr="66E7FF71">
        <w:rPr>
          <w:rFonts w:asciiTheme="majorHAnsi" w:hAnsiTheme="majorHAnsi" w:cstheme="majorBidi"/>
          <w:lang w:val="es-CO"/>
        </w:rPr>
        <w:t xml:space="preserve">Yudi </w:t>
      </w:r>
      <w:r w:rsidR="79DE10A9" w:rsidRPr="66E7FF71">
        <w:rPr>
          <w:rFonts w:asciiTheme="majorHAnsi" w:hAnsiTheme="majorHAnsi" w:cstheme="majorBidi"/>
          <w:lang w:val="es-CO"/>
        </w:rPr>
        <w:t>Yepes</w:t>
      </w:r>
    </w:p>
    <w:p w14:paraId="326078B9" w14:textId="733DF835" w:rsidR="004312DE" w:rsidRDefault="009E3C59" w:rsidP="00A82CAF">
      <w:pPr>
        <w:pStyle w:val="Authordetails"/>
        <w:rPr>
          <w:rFonts w:asciiTheme="majorHAnsi" w:hAnsiTheme="majorHAnsi" w:cstheme="majorHAnsi"/>
          <w:lang w:val="es-CO"/>
        </w:rPr>
      </w:pPr>
      <w:r w:rsidRPr="00BE7431">
        <w:rPr>
          <w:noProof/>
          <w:lang w:val="pt-BR" w:eastAsia="pt-BR"/>
        </w:rPr>
        <w:drawing>
          <wp:anchor distT="0" distB="0" distL="114300" distR="114300" simplePos="0" relativeHeight="251658240" behindDoc="1" locked="0" layoutInCell="1" allowOverlap="1" wp14:anchorId="4E245C54" wp14:editId="312C637B">
            <wp:simplePos x="0" y="0"/>
            <wp:positionH relativeFrom="margin">
              <wp:align>right</wp:align>
            </wp:positionH>
            <wp:positionV relativeFrom="margin">
              <wp:align>bottom</wp:align>
            </wp:positionV>
            <wp:extent cx="2909570" cy="2604770"/>
            <wp:effectExtent l="0" t="0" r="5080" b="5080"/>
            <wp:wrapNone/>
            <wp:docPr id="1701572305"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72305" name="Imagen 1" descr="Logotipo, nombre de la empresa&#10;&#10;El contenido generado por IA puede ser incorrecto."/>
                    <pic:cNvPicPr/>
                  </pic:nvPicPr>
                  <pic:blipFill>
                    <a:blip r:embed="rId11"/>
                    <a:stretch>
                      <a:fillRect/>
                    </a:stretch>
                  </pic:blipFill>
                  <pic:spPr>
                    <a:xfrm>
                      <a:off x="0" y="0"/>
                      <a:ext cx="2909570" cy="2604770"/>
                    </a:xfrm>
                    <a:prstGeom prst="rect">
                      <a:avLst/>
                    </a:prstGeom>
                  </pic:spPr>
                </pic:pic>
              </a:graphicData>
            </a:graphic>
            <wp14:sizeRelH relativeFrom="margin">
              <wp14:pctWidth>0</wp14:pctWidth>
            </wp14:sizeRelH>
            <wp14:sizeRelV relativeFrom="margin">
              <wp14:pctHeight>0</wp14:pctHeight>
            </wp14:sizeRelV>
          </wp:anchor>
        </w:drawing>
      </w:r>
    </w:p>
    <w:p w14:paraId="5FEDD9E1" w14:textId="22BCA9E2" w:rsidR="00505D36" w:rsidRPr="00A04A66" w:rsidRDefault="00505D36" w:rsidP="00A82CAF">
      <w:pPr>
        <w:pStyle w:val="Authordetails"/>
        <w:rPr>
          <w:rFonts w:asciiTheme="majorHAnsi" w:hAnsiTheme="majorHAnsi" w:cstheme="majorHAnsi"/>
          <w:lang w:val="es-CO"/>
        </w:rPr>
        <w:sectPr w:rsidR="00505D36" w:rsidRPr="00A04A66" w:rsidSect="00C53A18">
          <w:headerReference w:type="even" r:id="rId12"/>
          <w:headerReference w:type="default" r:id="rId13"/>
          <w:footerReference w:type="even" r:id="rId14"/>
          <w:footerReference w:type="default" r:id="rId15"/>
          <w:headerReference w:type="first" r:id="rId16"/>
          <w:endnotePr>
            <w:numFmt w:val="decimal"/>
          </w:endnotePr>
          <w:pgSz w:w="11901" w:h="16840"/>
          <w:pgMar w:top="1871" w:right="907" w:bottom="1134" w:left="2268" w:header="709" w:footer="709" w:gutter="0"/>
          <w:cols w:space="708"/>
          <w:titlePg/>
          <w:docGrid w:linePitch="360"/>
        </w:sectPr>
      </w:pPr>
    </w:p>
    <w:p w14:paraId="42CC6D52" w14:textId="235271E2" w:rsidR="00DE1D58" w:rsidRPr="00A04A66" w:rsidRDefault="00F67D37" w:rsidP="001D01D4">
      <w:pPr>
        <w:pStyle w:val="TDC1"/>
        <w:spacing w:after="0" w:line="240" w:lineRule="auto"/>
        <w:rPr>
          <w:rFonts w:asciiTheme="majorHAnsi" w:hAnsiTheme="majorHAnsi" w:cstheme="majorHAnsi"/>
          <w:lang w:val="es-CO"/>
        </w:rPr>
      </w:pPr>
      <w:r w:rsidRPr="00A04A66">
        <w:rPr>
          <w:rFonts w:asciiTheme="majorHAnsi" w:hAnsiTheme="majorHAnsi" w:cstheme="majorHAnsi"/>
          <w:lang w:val="es-CO"/>
        </w:rPr>
        <w:lastRenderedPageBreak/>
        <w:t>Contenido</w:t>
      </w:r>
    </w:p>
    <w:p w14:paraId="4A7345EC" w14:textId="49DC5AFE" w:rsidR="00F50565" w:rsidRDefault="003637F8">
      <w:pPr>
        <w:pStyle w:val="TDC1"/>
        <w:tabs>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F67D37">
        <w:rPr>
          <w:rFonts w:asciiTheme="majorHAnsi" w:hAnsiTheme="majorHAnsi" w:cstheme="majorHAnsi"/>
          <w:b w:val="0"/>
          <w:lang w:val="es-CO"/>
        </w:rPr>
        <w:fldChar w:fldCharType="begin"/>
      </w:r>
      <w:r w:rsidRPr="0003527B">
        <w:rPr>
          <w:rFonts w:asciiTheme="majorHAnsi" w:hAnsiTheme="majorHAnsi" w:cstheme="majorHAnsi"/>
          <w:b w:val="0"/>
          <w:lang w:val="es-CO"/>
        </w:rPr>
        <w:instrText xml:space="preserve"> TOC \o "1-3" </w:instrText>
      </w:r>
      <w:r w:rsidRPr="00F67D37">
        <w:rPr>
          <w:rFonts w:asciiTheme="majorHAnsi" w:hAnsiTheme="majorHAnsi" w:cstheme="majorHAnsi"/>
          <w:b w:val="0"/>
          <w:lang w:val="es-CO"/>
        </w:rPr>
        <w:fldChar w:fldCharType="separate"/>
      </w:r>
      <w:r w:rsidR="00F50565" w:rsidRPr="00B16A72">
        <w:rPr>
          <w:rFonts w:asciiTheme="majorHAnsi" w:hAnsiTheme="majorHAnsi" w:cstheme="majorHAnsi"/>
          <w:noProof/>
          <w:lang w:val="es-CO"/>
        </w:rPr>
        <w:t>Acrónimos y abreviaciones</w:t>
      </w:r>
      <w:r w:rsidR="00F50565" w:rsidRPr="00F50565">
        <w:rPr>
          <w:noProof/>
          <w:lang w:val="es-CO"/>
        </w:rPr>
        <w:tab/>
      </w:r>
      <w:r w:rsidR="00F50565">
        <w:rPr>
          <w:noProof/>
        </w:rPr>
        <w:fldChar w:fldCharType="begin"/>
      </w:r>
      <w:r w:rsidR="00F50565" w:rsidRPr="00F50565">
        <w:rPr>
          <w:noProof/>
          <w:lang w:val="es-CO"/>
        </w:rPr>
        <w:instrText xml:space="preserve"> PAGEREF _Toc217565989 \h </w:instrText>
      </w:r>
      <w:r w:rsidR="00F50565">
        <w:rPr>
          <w:noProof/>
        </w:rPr>
      </w:r>
      <w:r w:rsidR="00F50565">
        <w:rPr>
          <w:noProof/>
        </w:rPr>
        <w:fldChar w:fldCharType="separate"/>
      </w:r>
      <w:r w:rsidR="00F50565" w:rsidRPr="00F50565">
        <w:rPr>
          <w:noProof/>
          <w:lang w:val="es-CO"/>
        </w:rPr>
        <w:t>3</w:t>
      </w:r>
      <w:r w:rsidR="00F50565">
        <w:rPr>
          <w:noProof/>
        </w:rPr>
        <w:fldChar w:fldCharType="end"/>
      </w:r>
    </w:p>
    <w:p w14:paraId="434E4547" w14:textId="5D989804" w:rsidR="00F50565" w:rsidRDefault="00F50565">
      <w:pPr>
        <w:pStyle w:val="TDC1"/>
        <w:tabs>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B16A72">
        <w:rPr>
          <w:rFonts w:asciiTheme="majorHAnsi" w:hAnsiTheme="majorHAnsi" w:cstheme="majorHAnsi"/>
          <w:noProof/>
          <w:lang w:val="es-CO"/>
        </w:rPr>
        <w:t>Objetivos</w:t>
      </w:r>
      <w:r w:rsidRPr="00F50565">
        <w:rPr>
          <w:noProof/>
          <w:lang w:val="es-CO"/>
        </w:rPr>
        <w:tab/>
      </w:r>
      <w:r>
        <w:rPr>
          <w:noProof/>
        </w:rPr>
        <w:fldChar w:fldCharType="begin"/>
      </w:r>
      <w:r w:rsidRPr="00F50565">
        <w:rPr>
          <w:noProof/>
          <w:lang w:val="es-CO"/>
        </w:rPr>
        <w:instrText xml:space="preserve"> PAGEREF _Toc217565990 \h </w:instrText>
      </w:r>
      <w:r>
        <w:rPr>
          <w:noProof/>
        </w:rPr>
      </w:r>
      <w:r>
        <w:rPr>
          <w:noProof/>
        </w:rPr>
        <w:fldChar w:fldCharType="separate"/>
      </w:r>
      <w:r w:rsidRPr="00F50565">
        <w:rPr>
          <w:noProof/>
          <w:lang w:val="es-CO"/>
        </w:rPr>
        <w:t>4</w:t>
      </w:r>
      <w:r>
        <w:rPr>
          <w:noProof/>
        </w:rPr>
        <w:fldChar w:fldCharType="end"/>
      </w:r>
    </w:p>
    <w:p w14:paraId="2CC486C4" w14:textId="7DE88D53" w:rsidR="00F50565" w:rsidRDefault="00F50565">
      <w:pPr>
        <w:pStyle w:val="TDC1"/>
        <w:tabs>
          <w:tab w:val="left" w:pos="540"/>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B16A72">
        <w:rPr>
          <w:rFonts w:asciiTheme="majorHAnsi" w:hAnsiTheme="majorHAnsi" w:cstheme="majorHAnsi"/>
          <w:noProof/>
          <w:lang w:val="es-CO"/>
        </w:rPr>
        <w:t>1.</w:t>
      </w:r>
      <w:r>
        <w:rPr>
          <w:rFonts w:asciiTheme="minorHAnsi" w:eastAsiaTheme="minorEastAsia" w:hAnsiTheme="minorHAnsi" w:cstheme="minorBidi"/>
          <w:b w:val="0"/>
          <w:noProof/>
          <w:color w:val="auto"/>
          <w:kern w:val="2"/>
          <w:sz w:val="24"/>
          <w:szCs w:val="24"/>
          <w:lang w:val="es-CO" w:eastAsia="es-CO"/>
          <w14:ligatures w14:val="standardContextual"/>
        </w:rPr>
        <w:tab/>
      </w:r>
      <w:r w:rsidRPr="00B16A72">
        <w:rPr>
          <w:rFonts w:asciiTheme="majorHAnsi" w:hAnsiTheme="majorHAnsi" w:cstheme="majorHAnsi"/>
          <w:noProof/>
          <w:lang w:val="es-CO"/>
        </w:rPr>
        <w:t>Contexto</w:t>
      </w:r>
      <w:r w:rsidRPr="00F50565">
        <w:rPr>
          <w:noProof/>
          <w:lang w:val="es-CO"/>
        </w:rPr>
        <w:tab/>
      </w:r>
      <w:r>
        <w:rPr>
          <w:noProof/>
        </w:rPr>
        <w:fldChar w:fldCharType="begin"/>
      </w:r>
      <w:r w:rsidRPr="00F50565">
        <w:rPr>
          <w:noProof/>
          <w:lang w:val="es-CO"/>
        </w:rPr>
        <w:instrText xml:space="preserve"> PAGEREF _Toc217565991 \h </w:instrText>
      </w:r>
      <w:r>
        <w:rPr>
          <w:noProof/>
        </w:rPr>
      </w:r>
      <w:r>
        <w:rPr>
          <w:noProof/>
        </w:rPr>
        <w:fldChar w:fldCharType="separate"/>
      </w:r>
      <w:r w:rsidRPr="00F50565">
        <w:rPr>
          <w:noProof/>
          <w:lang w:val="es-CO"/>
        </w:rPr>
        <w:t>5</w:t>
      </w:r>
      <w:r>
        <w:rPr>
          <w:noProof/>
        </w:rPr>
        <w:fldChar w:fldCharType="end"/>
      </w:r>
    </w:p>
    <w:p w14:paraId="0A72DC1B" w14:textId="782F1F3C" w:rsidR="00F50565" w:rsidRDefault="00F50565">
      <w:pPr>
        <w:pStyle w:val="TDC1"/>
        <w:tabs>
          <w:tab w:val="left" w:pos="540"/>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B16A72">
        <w:rPr>
          <w:rFonts w:asciiTheme="majorHAnsi" w:hAnsiTheme="majorHAnsi" w:cstheme="majorBidi"/>
          <w:noProof/>
          <w:lang w:val="es-CO"/>
        </w:rPr>
        <w:t>2.</w:t>
      </w:r>
      <w:r>
        <w:rPr>
          <w:rFonts w:asciiTheme="minorHAnsi" w:eastAsiaTheme="minorEastAsia" w:hAnsiTheme="minorHAnsi" w:cstheme="minorBidi"/>
          <w:b w:val="0"/>
          <w:noProof/>
          <w:color w:val="auto"/>
          <w:kern w:val="2"/>
          <w:sz w:val="24"/>
          <w:szCs w:val="24"/>
          <w:lang w:val="es-CO" w:eastAsia="es-CO"/>
          <w14:ligatures w14:val="standardContextual"/>
        </w:rPr>
        <w:tab/>
      </w:r>
      <w:r w:rsidRPr="00B16A72">
        <w:rPr>
          <w:rFonts w:asciiTheme="majorHAnsi" w:hAnsiTheme="majorHAnsi" w:cstheme="majorBidi"/>
          <w:noProof/>
          <w:lang w:val="es-CO"/>
        </w:rPr>
        <w:t>Instrumento</w:t>
      </w:r>
      <w:r w:rsidRPr="00F50565">
        <w:rPr>
          <w:noProof/>
          <w:lang w:val="es-CO"/>
        </w:rPr>
        <w:tab/>
      </w:r>
      <w:r>
        <w:rPr>
          <w:noProof/>
        </w:rPr>
        <w:fldChar w:fldCharType="begin"/>
      </w:r>
      <w:r w:rsidRPr="00F50565">
        <w:rPr>
          <w:noProof/>
          <w:lang w:val="es-CO"/>
        </w:rPr>
        <w:instrText xml:space="preserve"> PAGEREF _Toc217565992 \h </w:instrText>
      </w:r>
      <w:r>
        <w:rPr>
          <w:noProof/>
        </w:rPr>
      </w:r>
      <w:r>
        <w:rPr>
          <w:noProof/>
        </w:rPr>
        <w:fldChar w:fldCharType="separate"/>
      </w:r>
      <w:r w:rsidRPr="00F50565">
        <w:rPr>
          <w:noProof/>
          <w:lang w:val="es-CO"/>
        </w:rPr>
        <w:t>6</w:t>
      </w:r>
      <w:r>
        <w:rPr>
          <w:noProof/>
        </w:rPr>
        <w:fldChar w:fldCharType="end"/>
      </w:r>
    </w:p>
    <w:p w14:paraId="7372B58C" w14:textId="7BCBE3C0" w:rsidR="00F50565" w:rsidRDefault="00F50565">
      <w:pPr>
        <w:pStyle w:val="TDC1"/>
        <w:tabs>
          <w:tab w:val="left" w:pos="540"/>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B16A72">
        <w:rPr>
          <w:rFonts w:asciiTheme="majorHAnsi" w:hAnsiTheme="majorHAnsi" w:cstheme="majorBidi"/>
          <w:noProof/>
          <w:lang w:val="es-CO"/>
        </w:rPr>
        <w:t>3.</w:t>
      </w:r>
      <w:r>
        <w:rPr>
          <w:rFonts w:asciiTheme="minorHAnsi" w:eastAsiaTheme="minorEastAsia" w:hAnsiTheme="minorHAnsi" w:cstheme="minorBidi"/>
          <w:b w:val="0"/>
          <w:noProof/>
          <w:color w:val="auto"/>
          <w:kern w:val="2"/>
          <w:sz w:val="24"/>
          <w:szCs w:val="24"/>
          <w:lang w:val="es-CO" w:eastAsia="es-CO"/>
          <w14:ligatures w14:val="standardContextual"/>
        </w:rPr>
        <w:tab/>
      </w:r>
      <w:r w:rsidRPr="00B16A72">
        <w:rPr>
          <w:rFonts w:asciiTheme="majorHAnsi" w:hAnsiTheme="majorHAnsi" w:cstheme="majorBidi"/>
          <w:noProof/>
          <w:lang w:val="es-CO"/>
        </w:rPr>
        <w:t>Análisis de resultados</w:t>
      </w:r>
      <w:r w:rsidRPr="00F50565">
        <w:rPr>
          <w:noProof/>
          <w:lang w:val="es-CO"/>
        </w:rPr>
        <w:tab/>
      </w:r>
      <w:r>
        <w:rPr>
          <w:noProof/>
        </w:rPr>
        <w:fldChar w:fldCharType="begin"/>
      </w:r>
      <w:r w:rsidRPr="00F50565">
        <w:rPr>
          <w:noProof/>
          <w:lang w:val="es-CO"/>
        </w:rPr>
        <w:instrText xml:space="preserve"> PAGEREF _Toc217565993 \h </w:instrText>
      </w:r>
      <w:r>
        <w:rPr>
          <w:noProof/>
        </w:rPr>
      </w:r>
      <w:r>
        <w:rPr>
          <w:noProof/>
        </w:rPr>
        <w:fldChar w:fldCharType="separate"/>
      </w:r>
      <w:r w:rsidRPr="00F50565">
        <w:rPr>
          <w:noProof/>
          <w:lang w:val="es-CO"/>
        </w:rPr>
        <w:t>10</w:t>
      </w:r>
      <w:r>
        <w:rPr>
          <w:noProof/>
        </w:rPr>
        <w:fldChar w:fldCharType="end"/>
      </w:r>
    </w:p>
    <w:p w14:paraId="12ABAF7A" w14:textId="40656FB3" w:rsidR="00F50565" w:rsidRDefault="00F50565">
      <w:pPr>
        <w:pStyle w:val="TDC1"/>
        <w:tabs>
          <w:tab w:val="left" w:pos="540"/>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B16A72">
        <w:rPr>
          <w:rFonts w:asciiTheme="majorHAnsi" w:hAnsiTheme="majorHAnsi" w:cstheme="majorBidi"/>
          <w:noProof/>
          <w:lang w:val="es-CO"/>
        </w:rPr>
        <w:t>4.</w:t>
      </w:r>
      <w:r>
        <w:rPr>
          <w:rFonts w:asciiTheme="minorHAnsi" w:eastAsiaTheme="minorEastAsia" w:hAnsiTheme="minorHAnsi" w:cstheme="minorBidi"/>
          <w:b w:val="0"/>
          <w:noProof/>
          <w:color w:val="auto"/>
          <w:kern w:val="2"/>
          <w:sz w:val="24"/>
          <w:szCs w:val="24"/>
          <w:lang w:val="es-CO" w:eastAsia="es-CO"/>
          <w14:ligatures w14:val="standardContextual"/>
        </w:rPr>
        <w:tab/>
      </w:r>
      <w:r w:rsidRPr="00B16A72">
        <w:rPr>
          <w:rFonts w:asciiTheme="majorHAnsi" w:hAnsiTheme="majorHAnsi" w:cstheme="majorBidi"/>
          <w:noProof/>
          <w:lang w:val="es-CO"/>
        </w:rPr>
        <w:t>Conclusiones</w:t>
      </w:r>
      <w:r w:rsidRPr="00F50565">
        <w:rPr>
          <w:noProof/>
          <w:lang w:val="es-CO"/>
        </w:rPr>
        <w:tab/>
      </w:r>
      <w:r>
        <w:rPr>
          <w:noProof/>
        </w:rPr>
        <w:fldChar w:fldCharType="begin"/>
      </w:r>
      <w:r w:rsidRPr="00F50565">
        <w:rPr>
          <w:noProof/>
          <w:lang w:val="es-CO"/>
        </w:rPr>
        <w:instrText xml:space="preserve"> PAGEREF _Toc217565994 \h </w:instrText>
      </w:r>
      <w:r>
        <w:rPr>
          <w:noProof/>
        </w:rPr>
      </w:r>
      <w:r>
        <w:rPr>
          <w:noProof/>
        </w:rPr>
        <w:fldChar w:fldCharType="separate"/>
      </w:r>
      <w:r w:rsidRPr="00F50565">
        <w:rPr>
          <w:noProof/>
          <w:lang w:val="es-CO"/>
        </w:rPr>
        <w:t>14</w:t>
      </w:r>
      <w:r>
        <w:rPr>
          <w:noProof/>
        </w:rPr>
        <w:fldChar w:fldCharType="end"/>
      </w:r>
    </w:p>
    <w:p w14:paraId="5F779949" w14:textId="1F7A5C0A" w:rsidR="00F50565" w:rsidRDefault="00F50565">
      <w:pPr>
        <w:pStyle w:val="TDC1"/>
        <w:tabs>
          <w:tab w:val="right" w:leader="dot" w:pos="8716"/>
        </w:tabs>
        <w:rPr>
          <w:rFonts w:asciiTheme="minorHAnsi" w:eastAsiaTheme="minorEastAsia" w:hAnsiTheme="minorHAnsi" w:cstheme="minorBidi"/>
          <w:b w:val="0"/>
          <w:noProof/>
          <w:color w:val="auto"/>
          <w:kern w:val="2"/>
          <w:sz w:val="24"/>
          <w:szCs w:val="24"/>
          <w:lang w:val="es-CO" w:eastAsia="es-CO"/>
          <w14:ligatures w14:val="standardContextual"/>
        </w:rPr>
      </w:pPr>
      <w:r w:rsidRPr="00B16A72">
        <w:rPr>
          <w:rFonts w:asciiTheme="majorHAnsi" w:hAnsiTheme="majorHAnsi" w:cstheme="majorHAnsi"/>
          <w:noProof/>
          <w:lang w:val="es-CO"/>
        </w:rPr>
        <w:t>Referencias</w:t>
      </w:r>
      <w:r>
        <w:rPr>
          <w:noProof/>
        </w:rPr>
        <w:tab/>
      </w:r>
      <w:r>
        <w:rPr>
          <w:noProof/>
        </w:rPr>
        <w:fldChar w:fldCharType="begin"/>
      </w:r>
      <w:r>
        <w:rPr>
          <w:noProof/>
        </w:rPr>
        <w:instrText xml:space="preserve"> PAGEREF _Toc217565995 \h </w:instrText>
      </w:r>
      <w:r>
        <w:rPr>
          <w:noProof/>
        </w:rPr>
      </w:r>
      <w:r>
        <w:rPr>
          <w:noProof/>
        </w:rPr>
        <w:fldChar w:fldCharType="separate"/>
      </w:r>
      <w:r>
        <w:rPr>
          <w:noProof/>
        </w:rPr>
        <w:t>15</w:t>
      </w:r>
      <w:r>
        <w:rPr>
          <w:noProof/>
        </w:rPr>
        <w:fldChar w:fldCharType="end"/>
      </w:r>
    </w:p>
    <w:p w14:paraId="47C64DDA" w14:textId="0A4067AE" w:rsidR="00CA625A" w:rsidRPr="00F67D37" w:rsidRDefault="003637F8" w:rsidP="001D01D4">
      <w:pPr>
        <w:tabs>
          <w:tab w:val="right" w:leader="dot" w:pos="8647"/>
        </w:tabs>
        <w:spacing w:after="0" w:line="240" w:lineRule="auto"/>
        <w:rPr>
          <w:rFonts w:asciiTheme="majorHAnsi" w:hAnsiTheme="majorHAnsi" w:cstheme="majorHAnsi"/>
          <w:b/>
          <w:color w:val="303B41"/>
          <w:lang w:val="es-CO"/>
        </w:rPr>
      </w:pPr>
      <w:r w:rsidRPr="00F67D37">
        <w:rPr>
          <w:rFonts w:asciiTheme="majorHAnsi" w:hAnsiTheme="majorHAnsi" w:cstheme="majorHAnsi"/>
          <w:b/>
          <w:color w:val="303B41"/>
          <w:lang w:val="es-CO"/>
        </w:rPr>
        <w:fldChar w:fldCharType="end"/>
      </w:r>
    </w:p>
    <w:p w14:paraId="16F052C0" w14:textId="77777777" w:rsidR="00496BAA" w:rsidRPr="00F67D37" w:rsidRDefault="00496BAA" w:rsidP="00AB4AA2">
      <w:pPr>
        <w:tabs>
          <w:tab w:val="right" w:leader="dot" w:pos="8647"/>
        </w:tabs>
        <w:jc w:val="right"/>
        <w:rPr>
          <w:rFonts w:asciiTheme="majorHAnsi" w:hAnsiTheme="majorHAnsi" w:cstheme="majorHAnsi"/>
          <w:bCs/>
          <w:color w:val="303B41"/>
          <w:lang w:val="es-CO"/>
        </w:rPr>
      </w:pPr>
    </w:p>
    <w:p w14:paraId="092E78E6" w14:textId="5FDC9AB5" w:rsidR="00356CE2" w:rsidRPr="00F67D37" w:rsidRDefault="00356CE2" w:rsidP="00F50565">
      <w:pPr>
        <w:tabs>
          <w:tab w:val="right" w:leader="dot" w:pos="8647"/>
        </w:tabs>
        <w:jc w:val="center"/>
        <w:rPr>
          <w:rFonts w:asciiTheme="majorHAnsi" w:hAnsiTheme="majorHAnsi" w:cstheme="majorHAnsi"/>
          <w:b/>
          <w:color w:val="303B41"/>
          <w:lang w:val="es-CO"/>
        </w:rPr>
      </w:pPr>
      <w:r w:rsidRPr="00F67D37">
        <w:rPr>
          <w:rFonts w:asciiTheme="majorHAnsi" w:hAnsiTheme="majorHAnsi" w:cstheme="majorHAnsi"/>
          <w:b/>
          <w:color w:val="303B41"/>
          <w:lang w:val="es-CO"/>
        </w:rPr>
        <w:t>List</w:t>
      </w:r>
      <w:r w:rsidR="00F67D37" w:rsidRPr="00F67D37">
        <w:rPr>
          <w:rFonts w:asciiTheme="majorHAnsi" w:hAnsiTheme="majorHAnsi" w:cstheme="majorHAnsi"/>
          <w:b/>
          <w:color w:val="303B41"/>
          <w:lang w:val="es-CO"/>
        </w:rPr>
        <w:t>a</w:t>
      </w:r>
      <w:r w:rsidRPr="00F67D37">
        <w:rPr>
          <w:rFonts w:asciiTheme="majorHAnsi" w:hAnsiTheme="majorHAnsi" w:cstheme="majorHAnsi"/>
          <w:b/>
          <w:color w:val="303B41"/>
          <w:lang w:val="es-CO"/>
        </w:rPr>
        <w:t xml:space="preserve"> </w:t>
      </w:r>
      <w:r w:rsidR="00F67D37" w:rsidRPr="00F67D37">
        <w:rPr>
          <w:rFonts w:asciiTheme="majorHAnsi" w:hAnsiTheme="majorHAnsi" w:cstheme="majorHAnsi"/>
          <w:b/>
          <w:color w:val="303B41"/>
          <w:lang w:val="es-CO"/>
        </w:rPr>
        <w:t>de Tablas</w:t>
      </w:r>
    </w:p>
    <w:p w14:paraId="696C6E3D" w14:textId="07042587" w:rsidR="00F50565" w:rsidRDefault="00356CE2">
      <w:pPr>
        <w:pStyle w:val="Tabladeilustraciones"/>
        <w:tabs>
          <w:tab w:val="right" w:leader="dot" w:pos="8716"/>
        </w:tabs>
        <w:rPr>
          <w:rFonts w:asciiTheme="minorHAnsi" w:eastAsiaTheme="minorEastAsia" w:hAnsiTheme="minorHAnsi" w:cstheme="minorBidi"/>
          <w:noProof/>
          <w:color w:val="auto"/>
          <w:kern w:val="2"/>
          <w:sz w:val="24"/>
          <w:szCs w:val="24"/>
          <w:lang w:val="es-CO" w:eastAsia="es-CO"/>
          <w14:ligatures w14:val="standardContextual"/>
        </w:rPr>
      </w:pPr>
      <w:r w:rsidRPr="00F67D37">
        <w:rPr>
          <w:rFonts w:asciiTheme="majorHAnsi" w:hAnsiTheme="majorHAnsi" w:cstheme="majorHAnsi"/>
          <w:bCs/>
          <w:color w:val="303B41"/>
          <w:lang w:val="es-CO"/>
        </w:rPr>
        <w:fldChar w:fldCharType="begin"/>
      </w:r>
      <w:r w:rsidRPr="00F67D37">
        <w:rPr>
          <w:rFonts w:asciiTheme="majorHAnsi" w:hAnsiTheme="majorHAnsi" w:cstheme="majorHAnsi"/>
          <w:bCs/>
          <w:color w:val="303B41"/>
          <w:lang w:val="es-CO"/>
        </w:rPr>
        <w:instrText xml:space="preserve"> TOC \h \z \c "Tabla" </w:instrText>
      </w:r>
      <w:r w:rsidRPr="00F67D37">
        <w:rPr>
          <w:rFonts w:asciiTheme="majorHAnsi" w:hAnsiTheme="majorHAnsi" w:cstheme="majorHAnsi"/>
          <w:bCs/>
          <w:color w:val="303B41"/>
          <w:lang w:val="es-CO"/>
        </w:rPr>
        <w:fldChar w:fldCharType="separate"/>
      </w:r>
      <w:hyperlink w:anchor="_Toc217565996" w:history="1">
        <w:r w:rsidR="00F50565" w:rsidRPr="001C2B8A">
          <w:rPr>
            <w:rStyle w:val="Hipervnculo"/>
            <w:rFonts w:asciiTheme="majorHAnsi" w:hAnsiTheme="majorHAnsi" w:cstheme="majorHAnsi"/>
            <w:noProof/>
            <w:lang w:val="es-CO"/>
          </w:rPr>
          <w:t>Tabla 1. Cuestionario sobre datos iniciales</w:t>
        </w:r>
        <w:r w:rsidR="00F50565">
          <w:rPr>
            <w:noProof/>
            <w:webHidden/>
          </w:rPr>
          <w:tab/>
        </w:r>
        <w:r w:rsidR="00F50565">
          <w:rPr>
            <w:noProof/>
            <w:webHidden/>
          </w:rPr>
          <w:fldChar w:fldCharType="begin"/>
        </w:r>
        <w:r w:rsidR="00F50565">
          <w:rPr>
            <w:noProof/>
            <w:webHidden/>
          </w:rPr>
          <w:instrText xml:space="preserve"> PAGEREF _Toc217565996 \h </w:instrText>
        </w:r>
        <w:r w:rsidR="00F50565">
          <w:rPr>
            <w:noProof/>
            <w:webHidden/>
          </w:rPr>
        </w:r>
        <w:r w:rsidR="00F50565">
          <w:rPr>
            <w:noProof/>
            <w:webHidden/>
          </w:rPr>
          <w:fldChar w:fldCharType="separate"/>
        </w:r>
        <w:r w:rsidR="00F50565">
          <w:rPr>
            <w:noProof/>
            <w:webHidden/>
          </w:rPr>
          <w:t>6</w:t>
        </w:r>
        <w:r w:rsidR="00F50565">
          <w:rPr>
            <w:noProof/>
            <w:webHidden/>
          </w:rPr>
          <w:fldChar w:fldCharType="end"/>
        </w:r>
      </w:hyperlink>
    </w:p>
    <w:p w14:paraId="7FCE0980" w14:textId="08F9E097" w:rsidR="00F50565" w:rsidRDefault="00F50565">
      <w:pPr>
        <w:pStyle w:val="Tabladeilustraciones"/>
        <w:tabs>
          <w:tab w:val="right" w:leader="dot" w:pos="8716"/>
        </w:tabs>
        <w:rPr>
          <w:rFonts w:asciiTheme="minorHAnsi" w:eastAsiaTheme="minorEastAsia" w:hAnsiTheme="minorHAnsi" w:cstheme="minorBidi"/>
          <w:noProof/>
          <w:color w:val="auto"/>
          <w:kern w:val="2"/>
          <w:sz w:val="24"/>
          <w:szCs w:val="24"/>
          <w:lang w:val="es-CO" w:eastAsia="es-CO"/>
          <w14:ligatures w14:val="standardContextual"/>
        </w:rPr>
      </w:pPr>
      <w:hyperlink w:anchor="_Toc217565997" w:history="1">
        <w:r w:rsidRPr="001C2B8A">
          <w:rPr>
            <w:rStyle w:val="Hipervnculo"/>
            <w:rFonts w:asciiTheme="majorHAnsi" w:hAnsiTheme="majorHAnsi" w:cstheme="majorHAnsi"/>
            <w:noProof/>
            <w:lang w:val="es-CO"/>
          </w:rPr>
          <w:t>Tabla 2. Cuestionario sobre costos de producción para productores</w:t>
        </w:r>
        <w:r>
          <w:rPr>
            <w:noProof/>
            <w:webHidden/>
          </w:rPr>
          <w:tab/>
        </w:r>
        <w:r>
          <w:rPr>
            <w:noProof/>
            <w:webHidden/>
          </w:rPr>
          <w:fldChar w:fldCharType="begin"/>
        </w:r>
        <w:r>
          <w:rPr>
            <w:noProof/>
            <w:webHidden/>
          </w:rPr>
          <w:instrText xml:space="preserve"> PAGEREF _Toc217565997 \h </w:instrText>
        </w:r>
        <w:r>
          <w:rPr>
            <w:noProof/>
            <w:webHidden/>
          </w:rPr>
        </w:r>
        <w:r>
          <w:rPr>
            <w:noProof/>
            <w:webHidden/>
          </w:rPr>
          <w:fldChar w:fldCharType="separate"/>
        </w:r>
        <w:r>
          <w:rPr>
            <w:noProof/>
            <w:webHidden/>
          </w:rPr>
          <w:t>7</w:t>
        </w:r>
        <w:r>
          <w:rPr>
            <w:noProof/>
            <w:webHidden/>
          </w:rPr>
          <w:fldChar w:fldCharType="end"/>
        </w:r>
      </w:hyperlink>
    </w:p>
    <w:p w14:paraId="1E4F708F" w14:textId="5E595722" w:rsidR="00F50565" w:rsidRDefault="00F50565">
      <w:pPr>
        <w:pStyle w:val="Tabladeilustraciones"/>
        <w:tabs>
          <w:tab w:val="right" w:leader="dot" w:pos="8716"/>
        </w:tabs>
        <w:rPr>
          <w:rFonts w:asciiTheme="minorHAnsi" w:eastAsiaTheme="minorEastAsia" w:hAnsiTheme="minorHAnsi" w:cstheme="minorBidi"/>
          <w:noProof/>
          <w:color w:val="auto"/>
          <w:kern w:val="2"/>
          <w:sz w:val="24"/>
          <w:szCs w:val="24"/>
          <w:lang w:val="es-CO" w:eastAsia="es-CO"/>
          <w14:ligatures w14:val="standardContextual"/>
        </w:rPr>
      </w:pPr>
      <w:hyperlink w:anchor="_Toc217565998" w:history="1">
        <w:r w:rsidRPr="001C2B8A">
          <w:rPr>
            <w:rStyle w:val="Hipervnculo"/>
            <w:rFonts w:asciiTheme="majorHAnsi" w:hAnsiTheme="majorHAnsi" w:cstheme="majorHAnsi"/>
            <w:noProof/>
            <w:lang w:val="es-CO"/>
          </w:rPr>
          <w:t>Tabla 3. Cuestionario sobre costos de producción para transformadores</w:t>
        </w:r>
        <w:r>
          <w:rPr>
            <w:noProof/>
            <w:webHidden/>
          </w:rPr>
          <w:tab/>
        </w:r>
        <w:r>
          <w:rPr>
            <w:noProof/>
            <w:webHidden/>
          </w:rPr>
          <w:fldChar w:fldCharType="begin"/>
        </w:r>
        <w:r>
          <w:rPr>
            <w:noProof/>
            <w:webHidden/>
          </w:rPr>
          <w:instrText xml:space="preserve"> PAGEREF _Toc217565998 \h </w:instrText>
        </w:r>
        <w:r>
          <w:rPr>
            <w:noProof/>
            <w:webHidden/>
          </w:rPr>
        </w:r>
        <w:r>
          <w:rPr>
            <w:noProof/>
            <w:webHidden/>
          </w:rPr>
          <w:fldChar w:fldCharType="separate"/>
        </w:r>
        <w:r>
          <w:rPr>
            <w:noProof/>
            <w:webHidden/>
          </w:rPr>
          <w:t>7</w:t>
        </w:r>
        <w:r>
          <w:rPr>
            <w:noProof/>
            <w:webHidden/>
          </w:rPr>
          <w:fldChar w:fldCharType="end"/>
        </w:r>
      </w:hyperlink>
    </w:p>
    <w:p w14:paraId="689DD791" w14:textId="0E2753FE" w:rsidR="00F50565" w:rsidRDefault="00F50565">
      <w:pPr>
        <w:pStyle w:val="Tabladeilustraciones"/>
        <w:tabs>
          <w:tab w:val="right" w:leader="dot" w:pos="8716"/>
        </w:tabs>
        <w:rPr>
          <w:rFonts w:asciiTheme="minorHAnsi" w:eastAsiaTheme="minorEastAsia" w:hAnsiTheme="minorHAnsi" w:cstheme="minorBidi"/>
          <w:noProof/>
          <w:color w:val="auto"/>
          <w:kern w:val="2"/>
          <w:sz w:val="24"/>
          <w:szCs w:val="24"/>
          <w:lang w:val="es-CO" w:eastAsia="es-CO"/>
          <w14:ligatures w14:val="standardContextual"/>
        </w:rPr>
      </w:pPr>
      <w:hyperlink w:anchor="_Toc217565999" w:history="1">
        <w:r w:rsidRPr="001C2B8A">
          <w:rPr>
            <w:rStyle w:val="Hipervnculo"/>
            <w:rFonts w:asciiTheme="majorHAnsi" w:hAnsiTheme="majorHAnsi" w:cstheme="majorHAnsi"/>
            <w:noProof/>
            <w:lang w:val="es-CO"/>
          </w:rPr>
          <w:t>Tabla 4. Cuestionario sobre empleo generado</w:t>
        </w:r>
        <w:r>
          <w:rPr>
            <w:noProof/>
            <w:webHidden/>
          </w:rPr>
          <w:tab/>
        </w:r>
        <w:r>
          <w:rPr>
            <w:noProof/>
            <w:webHidden/>
          </w:rPr>
          <w:fldChar w:fldCharType="begin"/>
        </w:r>
        <w:r>
          <w:rPr>
            <w:noProof/>
            <w:webHidden/>
          </w:rPr>
          <w:instrText xml:space="preserve"> PAGEREF _Toc217565999 \h </w:instrText>
        </w:r>
        <w:r>
          <w:rPr>
            <w:noProof/>
            <w:webHidden/>
          </w:rPr>
        </w:r>
        <w:r>
          <w:rPr>
            <w:noProof/>
            <w:webHidden/>
          </w:rPr>
          <w:fldChar w:fldCharType="separate"/>
        </w:r>
        <w:r>
          <w:rPr>
            <w:noProof/>
            <w:webHidden/>
          </w:rPr>
          <w:t>8</w:t>
        </w:r>
        <w:r>
          <w:rPr>
            <w:noProof/>
            <w:webHidden/>
          </w:rPr>
          <w:fldChar w:fldCharType="end"/>
        </w:r>
      </w:hyperlink>
    </w:p>
    <w:p w14:paraId="0A63C9AB" w14:textId="17745C45" w:rsidR="00F50565" w:rsidRDefault="00F50565">
      <w:pPr>
        <w:pStyle w:val="Tabladeilustraciones"/>
        <w:tabs>
          <w:tab w:val="right" w:leader="dot" w:pos="8716"/>
        </w:tabs>
        <w:rPr>
          <w:rFonts w:asciiTheme="minorHAnsi" w:eastAsiaTheme="minorEastAsia" w:hAnsiTheme="minorHAnsi" w:cstheme="minorBidi"/>
          <w:noProof/>
          <w:color w:val="auto"/>
          <w:kern w:val="2"/>
          <w:sz w:val="24"/>
          <w:szCs w:val="24"/>
          <w:lang w:val="es-CO" w:eastAsia="es-CO"/>
          <w14:ligatures w14:val="standardContextual"/>
        </w:rPr>
      </w:pPr>
      <w:hyperlink w:anchor="_Toc217566000" w:history="1">
        <w:r w:rsidRPr="001C2B8A">
          <w:rPr>
            <w:rStyle w:val="Hipervnculo"/>
            <w:rFonts w:asciiTheme="majorHAnsi" w:hAnsiTheme="majorHAnsi" w:cstheme="majorHAnsi"/>
            <w:noProof/>
            <w:lang w:val="es-CO"/>
          </w:rPr>
          <w:t>Tabla 5. Cuestionario sobre ingresos</w:t>
        </w:r>
        <w:r>
          <w:rPr>
            <w:noProof/>
            <w:webHidden/>
          </w:rPr>
          <w:tab/>
        </w:r>
        <w:r>
          <w:rPr>
            <w:noProof/>
            <w:webHidden/>
          </w:rPr>
          <w:fldChar w:fldCharType="begin"/>
        </w:r>
        <w:r>
          <w:rPr>
            <w:noProof/>
            <w:webHidden/>
          </w:rPr>
          <w:instrText xml:space="preserve"> PAGEREF _Toc217566000 \h </w:instrText>
        </w:r>
        <w:r>
          <w:rPr>
            <w:noProof/>
            <w:webHidden/>
          </w:rPr>
        </w:r>
        <w:r>
          <w:rPr>
            <w:noProof/>
            <w:webHidden/>
          </w:rPr>
          <w:fldChar w:fldCharType="separate"/>
        </w:r>
        <w:r>
          <w:rPr>
            <w:noProof/>
            <w:webHidden/>
          </w:rPr>
          <w:t>8</w:t>
        </w:r>
        <w:r>
          <w:rPr>
            <w:noProof/>
            <w:webHidden/>
          </w:rPr>
          <w:fldChar w:fldCharType="end"/>
        </w:r>
      </w:hyperlink>
    </w:p>
    <w:p w14:paraId="313C5F7E" w14:textId="5649ECE3" w:rsidR="00F50565" w:rsidRDefault="00F50565">
      <w:pPr>
        <w:pStyle w:val="Tabladeilustraciones"/>
        <w:tabs>
          <w:tab w:val="right" w:leader="dot" w:pos="8716"/>
        </w:tabs>
        <w:rPr>
          <w:rFonts w:asciiTheme="minorHAnsi" w:eastAsiaTheme="minorEastAsia" w:hAnsiTheme="minorHAnsi" w:cstheme="minorBidi"/>
          <w:noProof/>
          <w:color w:val="auto"/>
          <w:kern w:val="2"/>
          <w:sz w:val="24"/>
          <w:szCs w:val="24"/>
          <w:lang w:val="es-CO" w:eastAsia="es-CO"/>
          <w14:ligatures w14:val="standardContextual"/>
        </w:rPr>
      </w:pPr>
      <w:hyperlink w:anchor="_Toc217566001" w:history="1">
        <w:r w:rsidRPr="001C2B8A">
          <w:rPr>
            <w:rStyle w:val="Hipervnculo"/>
            <w:rFonts w:asciiTheme="majorHAnsi" w:hAnsiTheme="majorHAnsi" w:cstheme="majorHAnsi"/>
            <w:noProof/>
            <w:lang w:val="es-CO"/>
          </w:rPr>
          <w:t>Tabla 6. Actores entrevistados</w:t>
        </w:r>
        <w:r>
          <w:rPr>
            <w:noProof/>
            <w:webHidden/>
          </w:rPr>
          <w:tab/>
        </w:r>
        <w:r>
          <w:rPr>
            <w:noProof/>
            <w:webHidden/>
          </w:rPr>
          <w:fldChar w:fldCharType="begin"/>
        </w:r>
        <w:r>
          <w:rPr>
            <w:noProof/>
            <w:webHidden/>
          </w:rPr>
          <w:instrText xml:space="preserve"> PAGEREF _Toc217566001 \h </w:instrText>
        </w:r>
        <w:r>
          <w:rPr>
            <w:noProof/>
            <w:webHidden/>
          </w:rPr>
        </w:r>
        <w:r>
          <w:rPr>
            <w:noProof/>
            <w:webHidden/>
          </w:rPr>
          <w:fldChar w:fldCharType="separate"/>
        </w:r>
        <w:r>
          <w:rPr>
            <w:noProof/>
            <w:webHidden/>
          </w:rPr>
          <w:t>9</w:t>
        </w:r>
        <w:r>
          <w:rPr>
            <w:noProof/>
            <w:webHidden/>
          </w:rPr>
          <w:fldChar w:fldCharType="end"/>
        </w:r>
      </w:hyperlink>
    </w:p>
    <w:p w14:paraId="75D7E8A4" w14:textId="74282B5A" w:rsidR="00356CE2" w:rsidRPr="00F67D37" w:rsidRDefault="00356CE2" w:rsidP="00C53A18">
      <w:pPr>
        <w:tabs>
          <w:tab w:val="right" w:leader="dot" w:pos="8647"/>
        </w:tabs>
        <w:rPr>
          <w:rFonts w:asciiTheme="majorHAnsi" w:hAnsiTheme="majorHAnsi" w:cstheme="majorHAnsi"/>
          <w:bCs/>
          <w:color w:val="303B41"/>
          <w:lang w:val="es-CO"/>
        </w:rPr>
      </w:pPr>
      <w:r w:rsidRPr="00F67D37">
        <w:rPr>
          <w:rFonts w:asciiTheme="majorHAnsi" w:hAnsiTheme="majorHAnsi" w:cstheme="majorHAnsi"/>
          <w:bCs/>
          <w:color w:val="303B41"/>
          <w:lang w:val="es-CO"/>
        </w:rPr>
        <w:fldChar w:fldCharType="end"/>
      </w:r>
    </w:p>
    <w:p w14:paraId="55174738" w14:textId="77777777" w:rsidR="0003527B" w:rsidRDefault="0003527B" w:rsidP="00C33A94">
      <w:pPr>
        <w:tabs>
          <w:tab w:val="right" w:leader="dot" w:pos="8647"/>
        </w:tabs>
        <w:rPr>
          <w:rFonts w:asciiTheme="majorHAnsi" w:hAnsiTheme="majorHAnsi" w:cstheme="majorHAnsi"/>
          <w:b/>
          <w:color w:val="303B41"/>
          <w:lang w:val="es-CO"/>
        </w:rPr>
      </w:pPr>
    </w:p>
    <w:p w14:paraId="12ED57E0" w14:textId="71EB7351" w:rsidR="0069731A" w:rsidRPr="00F67D37" w:rsidRDefault="0069731A">
      <w:pPr>
        <w:spacing w:after="0" w:line="240" w:lineRule="auto"/>
        <w:ind w:right="0"/>
        <w:rPr>
          <w:rFonts w:asciiTheme="majorHAnsi" w:hAnsiTheme="majorHAnsi" w:cstheme="majorHAnsi"/>
          <w:b/>
          <w:color w:val="303B41"/>
          <w:lang w:val="es-CO"/>
        </w:rPr>
      </w:pPr>
      <w:r w:rsidRPr="00F67D37">
        <w:rPr>
          <w:rFonts w:asciiTheme="majorHAnsi" w:hAnsiTheme="majorHAnsi" w:cstheme="majorHAnsi"/>
          <w:b/>
          <w:color w:val="303B41"/>
          <w:lang w:val="es-CO"/>
        </w:rPr>
        <w:br w:type="page"/>
      </w:r>
    </w:p>
    <w:p w14:paraId="31588818" w14:textId="0857B726" w:rsidR="0069731A" w:rsidRPr="00F67D37" w:rsidRDefault="00F67D37" w:rsidP="0069731A">
      <w:pPr>
        <w:pStyle w:val="Ttulo1"/>
        <w:rPr>
          <w:rFonts w:asciiTheme="majorHAnsi" w:hAnsiTheme="majorHAnsi" w:cstheme="majorHAnsi"/>
          <w:lang w:val="es-CO"/>
        </w:rPr>
      </w:pPr>
      <w:bookmarkStart w:id="0" w:name="_Toc217565989"/>
      <w:r w:rsidRPr="00F67D37">
        <w:rPr>
          <w:rFonts w:asciiTheme="majorHAnsi" w:hAnsiTheme="majorHAnsi" w:cstheme="majorHAnsi"/>
          <w:lang w:val="es-CO"/>
        </w:rPr>
        <w:lastRenderedPageBreak/>
        <w:t>Acrónimos y abreviaciones</w:t>
      </w:r>
      <w:bookmarkEnd w:id="0"/>
    </w:p>
    <w:p w14:paraId="5B0C98CF" w14:textId="1DD2537A" w:rsidR="0069731A" w:rsidRPr="00F67D37" w:rsidRDefault="0069731A">
      <w:pPr>
        <w:spacing w:after="0" w:line="240" w:lineRule="auto"/>
        <w:ind w:right="0"/>
        <w:rPr>
          <w:rFonts w:asciiTheme="majorHAnsi" w:hAnsiTheme="majorHAnsi" w:cstheme="majorHAnsi"/>
          <w:b/>
          <w:color w:val="303B41"/>
          <w:lang w:val="es-CO"/>
        </w:rPr>
      </w:pPr>
    </w:p>
    <w:tbl>
      <w:tblPr>
        <w:tblStyle w:val="Tablaconcuadrcula"/>
        <w:tblW w:w="0" w:type="auto"/>
        <w:tblBorders>
          <w:bottom w:val="none" w:sz="0" w:space="0" w:color="auto"/>
          <w:insideH w:val="none" w:sz="0" w:space="0" w:color="auto"/>
        </w:tblBorders>
        <w:tblLook w:val="04A0" w:firstRow="1" w:lastRow="0" w:firstColumn="1" w:lastColumn="0" w:noHBand="0" w:noVBand="1"/>
      </w:tblPr>
      <w:tblGrid>
        <w:gridCol w:w="1274"/>
        <w:gridCol w:w="5582"/>
      </w:tblGrid>
      <w:tr w:rsidR="0069731A" w:rsidRPr="00F67D37" w14:paraId="0CFFEEB1" w14:textId="77777777" w:rsidTr="0069731A">
        <w:trPr>
          <w:cnfStyle w:val="100000000000" w:firstRow="1" w:lastRow="0" w:firstColumn="0" w:lastColumn="0" w:oddVBand="0" w:evenVBand="0" w:oddHBand="0" w:evenHBand="0" w:firstRowFirstColumn="0" w:firstRowLastColumn="0" w:lastRowFirstColumn="0" w:lastRowLastColumn="0"/>
          <w:trHeight w:val="259"/>
        </w:trPr>
        <w:tc>
          <w:tcPr>
            <w:tcW w:w="1274" w:type="dxa"/>
          </w:tcPr>
          <w:p w14:paraId="7B4DB99B" w14:textId="25579F68" w:rsidR="0069731A" w:rsidRPr="00F67D37" w:rsidRDefault="0069731A">
            <w:pPr>
              <w:spacing w:after="0" w:line="240" w:lineRule="auto"/>
              <w:ind w:right="0"/>
              <w:rPr>
                <w:rFonts w:asciiTheme="majorHAnsi" w:hAnsiTheme="majorHAnsi" w:cstheme="majorHAnsi"/>
                <w:b/>
                <w:color w:val="303B41"/>
                <w:lang w:val="es-CO"/>
              </w:rPr>
            </w:pPr>
          </w:p>
        </w:tc>
        <w:tc>
          <w:tcPr>
            <w:tcW w:w="5582" w:type="dxa"/>
          </w:tcPr>
          <w:p w14:paraId="6FD65821" w14:textId="4A4DCA53" w:rsidR="0069731A" w:rsidRPr="00F67D37" w:rsidRDefault="0069731A">
            <w:pPr>
              <w:spacing w:after="0" w:line="240" w:lineRule="auto"/>
              <w:ind w:right="0"/>
              <w:rPr>
                <w:rFonts w:asciiTheme="majorHAnsi" w:hAnsiTheme="majorHAnsi" w:cstheme="majorHAnsi"/>
                <w:bCs/>
                <w:color w:val="303B41"/>
                <w:lang w:val="es-CO"/>
              </w:rPr>
            </w:pPr>
          </w:p>
        </w:tc>
      </w:tr>
      <w:tr w:rsidR="00AA7B0C" w:rsidRPr="00D11406" w14:paraId="0F6E5544" w14:textId="77777777" w:rsidTr="0069731A">
        <w:trPr>
          <w:trHeight w:val="259"/>
        </w:trPr>
        <w:tc>
          <w:tcPr>
            <w:tcW w:w="1274" w:type="dxa"/>
          </w:tcPr>
          <w:p w14:paraId="66DC2872" w14:textId="2FEE35CA" w:rsidR="00AA7B0C" w:rsidRPr="00906236" w:rsidRDefault="00906236" w:rsidP="00AA7B0C">
            <w:pPr>
              <w:spacing w:after="0" w:line="240" w:lineRule="auto"/>
              <w:ind w:right="0"/>
              <w:rPr>
                <w:rFonts w:asciiTheme="majorHAnsi" w:hAnsiTheme="majorHAnsi" w:cstheme="majorHAnsi"/>
                <w:b/>
                <w:color w:val="303B41"/>
                <w:lang w:val="es-CO"/>
              </w:rPr>
            </w:pPr>
            <w:r w:rsidRPr="00906236">
              <w:rPr>
                <w:rFonts w:asciiTheme="majorHAnsi" w:hAnsiTheme="majorHAnsi" w:cstheme="majorHAnsi"/>
                <w:b/>
                <w:lang w:val="es-CO"/>
              </w:rPr>
              <w:t>ADS</w:t>
            </w:r>
          </w:p>
        </w:tc>
        <w:tc>
          <w:tcPr>
            <w:tcW w:w="5582" w:type="dxa"/>
          </w:tcPr>
          <w:p w14:paraId="270895FA" w14:textId="39707F71" w:rsidR="00AA7B0C" w:rsidRPr="00F67D37" w:rsidRDefault="00906236" w:rsidP="00906236">
            <w:pPr>
              <w:spacing w:after="0" w:line="240" w:lineRule="auto"/>
              <w:ind w:right="0"/>
              <w:rPr>
                <w:rFonts w:asciiTheme="majorHAnsi" w:hAnsiTheme="majorHAnsi" w:cstheme="majorHAnsi"/>
                <w:bCs/>
                <w:color w:val="303B41"/>
                <w:lang w:val="es-CO"/>
              </w:rPr>
            </w:pPr>
            <w:r>
              <w:rPr>
                <w:color w:val="000000" w:themeColor="text1"/>
                <w:lang w:val="es-CO"/>
              </w:rPr>
              <w:t>Almidones de Sucre</w:t>
            </w:r>
          </w:p>
        </w:tc>
      </w:tr>
      <w:tr w:rsidR="00B608FC" w:rsidRPr="00F67D37" w14:paraId="2166EBEC" w14:textId="77777777" w:rsidTr="0069731A">
        <w:trPr>
          <w:trHeight w:val="259"/>
        </w:trPr>
        <w:tc>
          <w:tcPr>
            <w:tcW w:w="1274" w:type="dxa"/>
          </w:tcPr>
          <w:p w14:paraId="6B5B9F8F" w14:textId="5498E5AD" w:rsidR="00B608FC" w:rsidRPr="00F67D37" w:rsidRDefault="00B608FC" w:rsidP="00AA7B0C">
            <w:pPr>
              <w:spacing w:after="0" w:line="240" w:lineRule="auto"/>
              <w:ind w:right="0"/>
              <w:rPr>
                <w:rFonts w:asciiTheme="majorHAnsi" w:hAnsiTheme="majorHAnsi" w:cstheme="majorHAnsi"/>
                <w:b/>
                <w:color w:val="303B41"/>
                <w:lang w:val="es-CO"/>
              </w:rPr>
            </w:pPr>
            <w:r>
              <w:rPr>
                <w:rFonts w:asciiTheme="majorHAnsi" w:hAnsiTheme="majorHAnsi" w:cstheme="majorHAnsi"/>
                <w:b/>
                <w:color w:val="303B41"/>
                <w:lang w:val="es-CO"/>
              </w:rPr>
              <w:t>FAO</w:t>
            </w:r>
          </w:p>
        </w:tc>
        <w:tc>
          <w:tcPr>
            <w:tcW w:w="5582" w:type="dxa"/>
          </w:tcPr>
          <w:p w14:paraId="350524F0" w14:textId="11469834" w:rsidR="00B608FC" w:rsidRPr="00F67D37" w:rsidRDefault="00FA1B52" w:rsidP="00AA7B0C">
            <w:pPr>
              <w:spacing w:after="0" w:line="240" w:lineRule="auto"/>
              <w:ind w:right="0"/>
              <w:rPr>
                <w:rFonts w:asciiTheme="majorHAnsi" w:hAnsiTheme="majorHAnsi" w:cstheme="majorHAnsi"/>
                <w:bCs/>
                <w:color w:val="303B41"/>
                <w:lang w:val="es-CO"/>
              </w:rPr>
            </w:pPr>
            <w:r>
              <w:rPr>
                <w:rFonts w:asciiTheme="majorHAnsi" w:hAnsiTheme="majorHAnsi" w:cstheme="majorHAnsi"/>
                <w:bCs/>
                <w:color w:val="303B41"/>
                <w:lang w:val="es-CO"/>
              </w:rPr>
              <w:t>Food and Agriculture Organization</w:t>
            </w:r>
          </w:p>
        </w:tc>
      </w:tr>
      <w:tr w:rsidR="00AA7B0C" w:rsidRPr="00F67D37" w14:paraId="3B431F7D" w14:textId="77777777" w:rsidTr="0069731A">
        <w:trPr>
          <w:trHeight w:val="259"/>
        </w:trPr>
        <w:tc>
          <w:tcPr>
            <w:tcW w:w="1274" w:type="dxa"/>
          </w:tcPr>
          <w:p w14:paraId="3C1B020C" w14:textId="6F7B48BE" w:rsidR="00AA7B0C" w:rsidRPr="00F67D37" w:rsidRDefault="00AA7B0C" w:rsidP="00AA7B0C">
            <w:pPr>
              <w:spacing w:after="0" w:line="240" w:lineRule="auto"/>
              <w:ind w:right="0"/>
              <w:rPr>
                <w:rFonts w:asciiTheme="majorHAnsi" w:hAnsiTheme="majorHAnsi" w:cstheme="majorHAnsi"/>
                <w:b/>
                <w:color w:val="303B41"/>
                <w:lang w:val="es-CO"/>
              </w:rPr>
            </w:pPr>
            <w:r w:rsidRPr="00F67D37">
              <w:rPr>
                <w:rFonts w:asciiTheme="majorHAnsi" w:hAnsiTheme="majorHAnsi" w:cstheme="majorHAnsi"/>
                <w:b/>
                <w:color w:val="303B41"/>
                <w:lang w:val="es-CO"/>
              </w:rPr>
              <w:t>SEI</w:t>
            </w:r>
          </w:p>
        </w:tc>
        <w:tc>
          <w:tcPr>
            <w:tcW w:w="5582" w:type="dxa"/>
          </w:tcPr>
          <w:p w14:paraId="732A5D1D" w14:textId="4010D322" w:rsidR="00AA7B0C" w:rsidRPr="00F67D37" w:rsidRDefault="00AA7B0C" w:rsidP="00AA7B0C">
            <w:pPr>
              <w:spacing w:after="0" w:line="240" w:lineRule="auto"/>
              <w:ind w:right="0"/>
              <w:rPr>
                <w:rFonts w:asciiTheme="majorHAnsi" w:hAnsiTheme="majorHAnsi" w:cstheme="majorHAnsi"/>
                <w:b/>
                <w:color w:val="303B41"/>
                <w:lang w:val="es-CO"/>
              </w:rPr>
            </w:pPr>
            <w:r w:rsidRPr="00F67D37">
              <w:rPr>
                <w:rFonts w:asciiTheme="majorHAnsi" w:hAnsiTheme="majorHAnsi" w:cstheme="majorHAnsi"/>
                <w:lang w:val="es-CO"/>
              </w:rPr>
              <w:t>Stockholm Environment Institute</w:t>
            </w:r>
          </w:p>
        </w:tc>
      </w:tr>
      <w:tr w:rsidR="007F149E" w:rsidRPr="00F67D37" w14:paraId="09035E27" w14:textId="77777777" w:rsidTr="0069731A">
        <w:trPr>
          <w:trHeight w:val="259"/>
        </w:trPr>
        <w:tc>
          <w:tcPr>
            <w:tcW w:w="1274" w:type="dxa"/>
          </w:tcPr>
          <w:p w14:paraId="5DC4A9D5" w14:textId="21DFA336" w:rsidR="007F149E" w:rsidRPr="00F67D37" w:rsidRDefault="007F149E" w:rsidP="007F149E">
            <w:pPr>
              <w:spacing w:after="0" w:line="240" w:lineRule="auto"/>
              <w:ind w:right="0"/>
              <w:rPr>
                <w:rFonts w:asciiTheme="majorHAnsi" w:hAnsiTheme="majorHAnsi" w:cstheme="majorHAnsi"/>
                <w:b/>
                <w:color w:val="303B41"/>
                <w:lang w:val="es-CO"/>
              </w:rPr>
            </w:pPr>
            <w:r w:rsidRPr="00BD778D">
              <w:rPr>
                <w:rFonts w:asciiTheme="majorHAnsi" w:hAnsiTheme="majorHAnsi" w:cstheme="majorHAnsi"/>
                <w:b/>
                <w:bCs/>
                <w:lang w:val="es-CO"/>
              </w:rPr>
              <w:t>UNICAUCA</w:t>
            </w:r>
          </w:p>
        </w:tc>
        <w:tc>
          <w:tcPr>
            <w:tcW w:w="5582" w:type="dxa"/>
          </w:tcPr>
          <w:p w14:paraId="5CB43934" w14:textId="1B850BFC" w:rsidR="007F149E" w:rsidRPr="00F67D37" w:rsidRDefault="007F149E" w:rsidP="007F149E">
            <w:pPr>
              <w:spacing w:after="0" w:line="240" w:lineRule="auto"/>
              <w:ind w:right="0"/>
              <w:rPr>
                <w:rFonts w:asciiTheme="majorHAnsi" w:hAnsiTheme="majorHAnsi" w:cstheme="majorHAnsi"/>
                <w:lang w:val="es-CO"/>
              </w:rPr>
            </w:pPr>
            <w:r>
              <w:rPr>
                <w:rFonts w:asciiTheme="majorHAnsi" w:hAnsiTheme="majorHAnsi" w:cstheme="majorHAnsi"/>
                <w:lang w:val="es-CO"/>
              </w:rPr>
              <w:t>Universidad del Cauca</w:t>
            </w:r>
          </w:p>
        </w:tc>
      </w:tr>
    </w:tbl>
    <w:p w14:paraId="28D9409F" w14:textId="77777777" w:rsidR="0069731A" w:rsidRPr="00F67D37" w:rsidRDefault="0069731A">
      <w:pPr>
        <w:spacing w:after="0" w:line="240" w:lineRule="auto"/>
        <w:ind w:right="0"/>
        <w:rPr>
          <w:rFonts w:asciiTheme="majorHAnsi" w:hAnsiTheme="majorHAnsi" w:cstheme="majorHAnsi"/>
          <w:b/>
          <w:color w:val="303B41"/>
          <w:lang w:val="es-CO"/>
        </w:rPr>
      </w:pPr>
    </w:p>
    <w:p w14:paraId="767085BE" w14:textId="3650F67B" w:rsidR="0069731A" w:rsidRPr="00F67D37" w:rsidRDefault="0069731A">
      <w:pPr>
        <w:spacing w:after="0" w:line="240" w:lineRule="auto"/>
        <w:ind w:right="0"/>
        <w:rPr>
          <w:rFonts w:asciiTheme="majorHAnsi" w:hAnsiTheme="majorHAnsi" w:cstheme="majorHAnsi"/>
          <w:b/>
          <w:color w:val="303B41"/>
          <w:lang w:val="es-CO"/>
        </w:rPr>
      </w:pPr>
      <w:r w:rsidRPr="00F67D37">
        <w:rPr>
          <w:rFonts w:asciiTheme="majorHAnsi" w:hAnsiTheme="majorHAnsi" w:cstheme="majorHAnsi"/>
          <w:b/>
          <w:color w:val="303B41"/>
          <w:lang w:val="es-CO"/>
        </w:rPr>
        <w:br w:type="page"/>
      </w:r>
    </w:p>
    <w:p w14:paraId="4505B108" w14:textId="77777777" w:rsidR="00D33871" w:rsidRPr="00F67D37" w:rsidRDefault="00D33871" w:rsidP="000952A3">
      <w:pPr>
        <w:tabs>
          <w:tab w:val="right" w:leader="dot" w:pos="8647"/>
        </w:tabs>
        <w:jc w:val="right"/>
        <w:rPr>
          <w:rFonts w:asciiTheme="majorHAnsi" w:hAnsiTheme="majorHAnsi" w:cstheme="majorHAnsi"/>
          <w:lang w:val="es-CO"/>
        </w:rPr>
        <w:sectPr w:rsidR="00D33871" w:rsidRPr="00F67D37" w:rsidSect="00C53A18">
          <w:headerReference w:type="first" r:id="rId17"/>
          <w:footerReference w:type="first" r:id="rId18"/>
          <w:endnotePr>
            <w:numFmt w:val="decimal"/>
          </w:endnotePr>
          <w:pgSz w:w="11901" w:h="16840"/>
          <w:pgMar w:top="1871" w:right="907" w:bottom="1134" w:left="2268" w:header="709" w:footer="709" w:gutter="0"/>
          <w:cols w:space="708"/>
          <w:titlePg/>
          <w:docGrid w:linePitch="360"/>
        </w:sectPr>
      </w:pPr>
    </w:p>
    <w:p w14:paraId="5AAA7573" w14:textId="1D7158F1" w:rsidR="00220037" w:rsidRPr="00F67D37" w:rsidRDefault="00AC26FA" w:rsidP="00405D7D">
      <w:pPr>
        <w:pStyle w:val="Ttulo1"/>
        <w:rPr>
          <w:rFonts w:asciiTheme="majorHAnsi" w:hAnsiTheme="majorHAnsi" w:cstheme="majorHAnsi"/>
          <w:lang w:val="es-CO"/>
        </w:rPr>
      </w:pPr>
      <w:bookmarkStart w:id="1" w:name="_Toc372984569"/>
      <w:bookmarkStart w:id="2" w:name="_Toc372984887"/>
      <w:bookmarkStart w:id="3" w:name="_Toc217565990"/>
      <w:r w:rsidRPr="00F67D37">
        <w:rPr>
          <w:rFonts w:asciiTheme="majorHAnsi" w:hAnsiTheme="majorHAnsi" w:cstheme="majorHAnsi"/>
          <w:lang w:val="es-CO"/>
        </w:rPr>
        <w:lastRenderedPageBreak/>
        <w:t>Objeti</w:t>
      </w:r>
      <w:bookmarkEnd w:id="1"/>
      <w:bookmarkEnd w:id="2"/>
      <w:r w:rsidR="00F67D37" w:rsidRPr="00F67D37">
        <w:rPr>
          <w:rFonts w:asciiTheme="majorHAnsi" w:hAnsiTheme="majorHAnsi" w:cstheme="majorHAnsi"/>
          <w:lang w:val="es-CO"/>
        </w:rPr>
        <w:t>vos</w:t>
      </w:r>
      <w:bookmarkEnd w:id="3"/>
    </w:p>
    <w:p w14:paraId="7D66D3C8" w14:textId="3802493F" w:rsidR="00233BD1" w:rsidRDefault="0004166B" w:rsidP="007C7B53">
      <w:pPr>
        <w:jc w:val="both"/>
        <w:rPr>
          <w:rFonts w:asciiTheme="majorHAnsi" w:hAnsiTheme="majorHAnsi" w:cstheme="majorHAnsi"/>
          <w:lang w:val="es-CO"/>
        </w:rPr>
      </w:pPr>
      <w:r>
        <w:rPr>
          <w:rFonts w:asciiTheme="majorHAnsi" w:hAnsiTheme="majorHAnsi" w:cstheme="majorHAnsi"/>
          <w:lang w:val="es-CO"/>
        </w:rPr>
        <w:t>El objetivo</w:t>
      </w:r>
      <w:r w:rsidR="00F67D37" w:rsidRPr="00F67D37">
        <w:rPr>
          <w:rFonts w:asciiTheme="majorHAnsi" w:hAnsiTheme="majorHAnsi" w:cstheme="majorHAnsi"/>
          <w:lang w:val="es-CO"/>
        </w:rPr>
        <w:t xml:space="preserve"> de e</w:t>
      </w:r>
      <w:r w:rsidR="00F67D37">
        <w:rPr>
          <w:rFonts w:asciiTheme="majorHAnsi" w:hAnsiTheme="majorHAnsi" w:cstheme="majorHAnsi"/>
          <w:lang w:val="es-CO"/>
        </w:rPr>
        <w:t xml:space="preserve">ste </w:t>
      </w:r>
      <w:r>
        <w:rPr>
          <w:rFonts w:asciiTheme="majorHAnsi" w:hAnsiTheme="majorHAnsi" w:cstheme="majorHAnsi"/>
          <w:lang w:val="es-CO"/>
        </w:rPr>
        <w:t>informe</w:t>
      </w:r>
      <w:r w:rsidR="00F67D37">
        <w:rPr>
          <w:rFonts w:asciiTheme="majorHAnsi" w:hAnsiTheme="majorHAnsi" w:cstheme="majorHAnsi"/>
          <w:lang w:val="es-CO"/>
        </w:rPr>
        <w:t xml:space="preserve"> </w:t>
      </w:r>
      <w:r w:rsidR="001513FF">
        <w:rPr>
          <w:rFonts w:asciiTheme="majorHAnsi" w:hAnsiTheme="majorHAnsi" w:cstheme="majorHAnsi"/>
          <w:lang w:val="es-CO"/>
        </w:rPr>
        <w:t xml:space="preserve">es exponer los principales resultados de los cambios económicos a lo largo de la cadena de valor de la yuca, incluyendo la selección de indicadores y la construcción del instrumento de investigación. </w:t>
      </w:r>
      <w:r w:rsidR="005E3977">
        <w:rPr>
          <w:rFonts w:asciiTheme="majorHAnsi" w:hAnsiTheme="majorHAnsi" w:cstheme="majorHAnsi"/>
          <w:lang w:val="es-CO"/>
        </w:rPr>
        <w:t>Con el fin de tener una narrativa más fluida, este documento reúne</w:t>
      </w:r>
      <w:r>
        <w:rPr>
          <w:rFonts w:asciiTheme="majorHAnsi" w:hAnsiTheme="majorHAnsi" w:cstheme="majorHAnsi"/>
          <w:lang w:val="es-CO"/>
        </w:rPr>
        <w:t xml:space="preserve"> l</w:t>
      </w:r>
      <w:r w:rsidR="00194D55">
        <w:rPr>
          <w:rFonts w:asciiTheme="majorHAnsi" w:hAnsiTheme="majorHAnsi" w:cstheme="majorHAnsi"/>
          <w:lang w:val="es-CO"/>
        </w:rPr>
        <w:t xml:space="preserve">os </w:t>
      </w:r>
      <w:r w:rsidR="005E3977">
        <w:rPr>
          <w:rFonts w:asciiTheme="majorHAnsi" w:hAnsiTheme="majorHAnsi" w:cstheme="majorHAnsi"/>
          <w:lang w:val="es-CO"/>
        </w:rPr>
        <w:t>siguientes documentos  en uno sólo</w:t>
      </w:r>
      <w:r w:rsidR="00F2185C">
        <w:rPr>
          <w:rFonts w:asciiTheme="majorHAnsi" w:hAnsiTheme="majorHAnsi" w:cstheme="majorHAnsi"/>
          <w:lang w:val="es-CO"/>
        </w:rPr>
        <w:t>:</w:t>
      </w:r>
    </w:p>
    <w:p w14:paraId="6F8ED0DF" w14:textId="42C348C3" w:rsidR="00366B6E" w:rsidRDefault="005972EC" w:rsidP="005972EC">
      <w:pPr>
        <w:jc w:val="both"/>
        <w:rPr>
          <w:rFonts w:asciiTheme="majorHAnsi" w:hAnsiTheme="majorHAnsi" w:cstheme="majorHAnsi"/>
          <w:lang w:val="es-CO"/>
        </w:rPr>
      </w:pPr>
      <w:r w:rsidRPr="005972EC">
        <w:rPr>
          <w:rFonts w:asciiTheme="majorHAnsi" w:hAnsiTheme="majorHAnsi" w:cstheme="majorHAnsi"/>
          <w:lang w:val="es-CO"/>
        </w:rPr>
        <w:t xml:space="preserve">- Un (1) </w:t>
      </w:r>
      <w:r w:rsidRPr="00D629CB">
        <w:rPr>
          <w:rFonts w:asciiTheme="majorHAnsi" w:hAnsiTheme="majorHAnsi" w:cstheme="majorHAnsi"/>
          <w:i/>
          <w:iCs/>
          <w:lang w:val="es-CO"/>
        </w:rPr>
        <w:t>Documento de indicadores de cambio económico</w:t>
      </w:r>
      <w:r w:rsidR="00B12CFA">
        <w:rPr>
          <w:rFonts w:asciiTheme="majorHAnsi" w:hAnsiTheme="majorHAnsi" w:cstheme="majorHAnsi"/>
          <w:lang w:val="es-CO"/>
        </w:rPr>
        <w:t xml:space="preserve">. El cual se concentra en </w:t>
      </w:r>
      <w:r w:rsidR="00366B6E">
        <w:rPr>
          <w:rFonts w:asciiTheme="majorHAnsi" w:hAnsiTheme="majorHAnsi" w:cstheme="majorHAnsi"/>
          <w:lang w:val="es-CO"/>
        </w:rPr>
        <w:t xml:space="preserve">identificar los principales indicadores </w:t>
      </w:r>
      <w:r w:rsidR="003D49C4">
        <w:rPr>
          <w:rFonts w:asciiTheme="majorHAnsi" w:hAnsiTheme="majorHAnsi" w:cstheme="majorHAnsi"/>
          <w:lang w:val="es-CO"/>
        </w:rPr>
        <w:t>claves para</w:t>
      </w:r>
      <w:r w:rsidR="00366B6E">
        <w:rPr>
          <w:rFonts w:asciiTheme="majorHAnsi" w:hAnsiTheme="majorHAnsi" w:cstheme="majorHAnsi"/>
          <w:lang w:val="es-CO"/>
        </w:rPr>
        <w:t xml:space="preserve"> </w:t>
      </w:r>
      <w:r w:rsidR="004518D5">
        <w:rPr>
          <w:rFonts w:asciiTheme="majorHAnsi" w:hAnsiTheme="majorHAnsi" w:cstheme="majorHAnsi"/>
          <w:lang w:val="es-CO"/>
        </w:rPr>
        <w:t xml:space="preserve">observar la variación de los indicadores económicos. </w:t>
      </w:r>
    </w:p>
    <w:p w14:paraId="4C1FFEAF" w14:textId="368FFC62" w:rsidR="00B12CFA" w:rsidRPr="005972EC" w:rsidRDefault="00366B6E" w:rsidP="005972EC">
      <w:pPr>
        <w:jc w:val="both"/>
        <w:rPr>
          <w:rFonts w:asciiTheme="majorHAnsi" w:hAnsiTheme="majorHAnsi" w:cstheme="majorHAnsi"/>
          <w:lang w:val="es-CO"/>
        </w:rPr>
      </w:pPr>
      <w:r>
        <w:rPr>
          <w:rFonts w:asciiTheme="majorHAnsi" w:hAnsiTheme="majorHAnsi" w:cstheme="majorHAnsi"/>
          <w:lang w:val="es-CO"/>
        </w:rPr>
        <w:t xml:space="preserve"> </w:t>
      </w:r>
      <w:r w:rsidR="003C1A3E">
        <w:rPr>
          <w:rFonts w:asciiTheme="majorHAnsi" w:hAnsiTheme="majorHAnsi" w:cstheme="majorHAnsi"/>
          <w:lang w:val="es-CO"/>
        </w:rPr>
        <w:t xml:space="preserve">- Un </w:t>
      </w:r>
      <w:r w:rsidR="00B41E6A">
        <w:rPr>
          <w:rFonts w:asciiTheme="majorHAnsi" w:hAnsiTheme="majorHAnsi" w:cstheme="majorHAnsi"/>
          <w:lang w:val="es-CO"/>
        </w:rPr>
        <w:t>(</w:t>
      </w:r>
      <w:r w:rsidR="004F536B">
        <w:rPr>
          <w:rFonts w:asciiTheme="majorHAnsi" w:hAnsiTheme="majorHAnsi" w:cstheme="majorHAnsi"/>
          <w:lang w:val="es-CO"/>
        </w:rPr>
        <w:t>1)</w:t>
      </w:r>
      <w:r w:rsidR="003C1A3E">
        <w:rPr>
          <w:rFonts w:asciiTheme="majorHAnsi" w:hAnsiTheme="majorHAnsi" w:cstheme="majorHAnsi"/>
          <w:lang w:val="es-CO"/>
        </w:rPr>
        <w:t xml:space="preserve"> </w:t>
      </w:r>
      <w:r w:rsidR="003C1A3E" w:rsidRPr="00D26FCF">
        <w:rPr>
          <w:rFonts w:asciiTheme="majorHAnsi" w:hAnsiTheme="majorHAnsi" w:cstheme="majorHAnsi"/>
          <w:i/>
          <w:iCs/>
          <w:lang w:val="es-CO"/>
        </w:rPr>
        <w:t>Documento de criterios, indicadores y priorización de actores para medir el cambio económico (empleo e ingresos)</w:t>
      </w:r>
      <w:r w:rsidR="003C1A3E">
        <w:rPr>
          <w:rFonts w:asciiTheme="majorHAnsi" w:hAnsiTheme="majorHAnsi" w:cstheme="majorHAnsi"/>
          <w:lang w:val="es-CO"/>
        </w:rPr>
        <w:t xml:space="preserve">: el cual se enfoca en conectar los indicadores a medir con los actores más relevantes de la cadena. </w:t>
      </w:r>
    </w:p>
    <w:p w14:paraId="4EFA9B85" w14:textId="066CDED3" w:rsidR="00DA14B1" w:rsidRDefault="005972EC" w:rsidP="007C7B53">
      <w:pPr>
        <w:jc w:val="both"/>
        <w:rPr>
          <w:rFonts w:asciiTheme="majorHAnsi" w:hAnsiTheme="majorHAnsi" w:cstheme="majorHAnsi"/>
          <w:lang w:val="es-CO"/>
        </w:rPr>
      </w:pPr>
      <w:r w:rsidRPr="005972EC">
        <w:rPr>
          <w:rFonts w:asciiTheme="majorHAnsi" w:hAnsiTheme="majorHAnsi" w:cstheme="majorHAnsi"/>
          <w:lang w:val="es-CO"/>
        </w:rPr>
        <w:t xml:space="preserve">- Un (1) </w:t>
      </w:r>
      <w:r w:rsidR="007C5D61" w:rsidRPr="00D26FCF">
        <w:rPr>
          <w:rFonts w:asciiTheme="majorHAnsi" w:hAnsiTheme="majorHAnsi" w:cstheme="majorHAnsi"/>
          <w:i/>
          <w:iCs/>
          <w:lang w:val="es-CO"/>
        </w:rPr>
        <w:t>D</w:t>
      </w:r>
      <w:r w:rsidRPr="00D26FCF">
        <w:rPr>
          <w:rFonts w:asciiTheme="majorHAnsi" w:hAnsiTheme="majorHAnsi" w:cstheme="majorHAnsi"/>
          <w:i/>
          <w:iCs/>
          <w:lang w:val="es-CO"/>
        </w:rPr>
        <w:t>ocumento con Instrumento, aplicación a productores, transformadores y posibles compradores del producto, y análisis de la información</w:t>
      </w:r>
      <w:r w:rsidR="003C1A3E">
        <w:rPr>
          <w:rFonts w:asciiTheme="majorHAnsi" w:hAnsiTheme="majorHAnsi" w:cstheme="majorHAnsi"/>
          <w:lang w:val="es-CO"/>
        </w:rPr>
        <w:t xml:space="preserve">: en el cual se </w:t>
      </w:r>
      <w:r w:rsidR="00EC03CD">
        <w:rPr>
          <w:rFonts w:asciiTheme="majorHAnsi" w:hAnsiTheme="majorHAnsi" w:cstheme="majorHAnsi"/>
          <w:lang w:val="es-CO"/>
        </w:rPr>
        <w:t xml:space="preserve">detalla el instrumento de medición utilizado y se analiza la información </w:t>
      </w:r>
      <w:r w:rsidR="00BE5E22">
        <w:rPr>
          <w:rFonts w:asciiTheme="majorHAnsi" w:hAnsiTheme="majorHAnsi" w:cstheme="majorHAnsi"/>
          <w:lang w:val="es-CO"/>
        </w:rPr>
        <w:t>recopilada.</w:t>
      </w:r>
    </w:p>
    <w:p w14:paraId="53427B03" w14:textId="09E3B3BC" w:rsidR="006D7F33" w:rsidRDefault="00F67D37" w:rsidP="007C7B53">
      <w:pPr>
        <w:jc w:val="both"/>
        <w:rPr>
          <w:rFonts w:asciiTheme="majorHAnsi" w:hAnsiTheme="majorHAnsi" w:cstheme="majorHAnsi"/>
          <w:lang w:val="es-CO"/>
        </w:rPr>
      </w:pPr>
      <w:r w:rsidRPr="00F67D37">
        <w:rPr>
          <w:rFonts w:asciiTheme="majorHAnsi" w:hAnsiTheme="majorHAnsi" w:cstheme="majorHAnsi"/>
          <w:lang w:val="es-CO"/>
        </w:rPr>
        <w:t>Este document</w:t>
      </w:r>
      <w:r w:rsidR="0033014B">
        <w:rPr>
          <w:rFonts w:asciiTheme="majorHAnsi" w:hAnsiTheme="majorHAnsi" w:cstheme="majorHAnsi"/>
          <w:lang w:val="es-CO"/>
        </w:rPr>
        <w:t>o</w:t>
      </w:r>
      <w:r w:rsidRPr="00F67D37">
        <w:rPr>
          <w:rFonts w:asciiTheme="majorHAnsi" w:hAnsiTheme="majorHAnsi" w:cstheme="majorHAnsi"/>
          <w:lang w:val="es-CO"/>
        </w:rPr>
        <w:t xml:space="preserve"> está enmarcado e</w:t>
      </w:r>
      <w:r>
        <w:rPr>
          <w:rFonts w:asciiTheme="majorHAnsi" w:hAnsiTheme="majorHAnsi" w:cstheme="majorHAnsi"/>
          <w:lang w:val="es-CO"/>
        </w:rPr>
        <w:t xml:space="preserve">n el proyecto </w:t>
      </w:r>
      <w:r w:rsidRPr="00725781">
        <w:rPr>
          <w:rFonts w:asciiTheme="majorHAnsi" w:hAnsiTheme="majorHAnsi" w:cstheme="majorHAnsi"/>
          <w:i/>
          <w:iCs/>
          <w:lang w:val="es-CO"/>
        </w:rPr>
        <w:t>“</w:t>
      </w:r>
      <w:r w:rsidR="009428BC" w:rsidRPr="009428BC">
        <w:rPr>
          <w:rFonts w:asciiTheme="majorHAnsi" w:hAnsiTheme="majorHAnsi" w:cstheme="majorHAnsi"/>
          <w:i/>
          <w:iCs/>
          <w:lang w:val="es-CO"/>
        </w:rPr>
        <w:t>Desarrollo y evaluación del uso de almidón, afrecho y harina de yuca de alta calidad para la producción de bio-materiales</w:t>
      </w:r>
      <w:r w:rsidRPr="00725781">
        <w:rPr>
          <w:rFonts w:asciiTheme="majorHAnsi" w:hAnsiTheme="majorHAnsi" w:cstheme="majorHAnsi"/>
          <w:i/>
          <w:iCs/>
          <w:lang w:val="es-CO"/>
        </w:rPr>
        <w:t>”</w:t>
      </w:r>
      <w:r>
        <w:rPr>
          <w:rFonts w:asciiTheme="majorHAnsi" w:hAnsiTheme="majorHAnsi" w:cstheme="majorHAnsi"/>
          <w:lang w:val="es-CO"/>
        </w:rPr>
        <w:t xml:space="preserve"> entre </w:t>
      </w:r>
      <w:r w:rsidRPr="00F67D37">
        <w:rPr>
          <w:rFonts w:asciiTheme="majorHAnsi" w:hAnsiTheme="majorHAnsi" w:cstheme="majorHAnsi"/>
          <w:lang w:val="es-CO"/>
        </w:rPr>
        <w:t>Stockholm Environment Institute (SEI</w:t>
      </w:r>
      <w:r w:rsidR="005B2876">
        <w:rPr>
          <w:rFonts w:asciiTheme="majorHAnsi" w:hAnsiTheme="majorHAnsi" w:cstheme="majorHAnsi"/>
          <w:lang w:val="es-CO"/>
        </w:rPr>
        <w:t>)</w:t>
      </w:r>
      <w:r>
        <w:rPr>
          <w:rFonts w:asciiTheme="majorHAnsi" w:hAnsiTheme="majorHAnsi" w:cstheme="majorHAnsi"/>
          <w:lang w:val="es-CO"/>
        </w:rPr>
        <w:t xml:space="preserve"> y Universidad del Cauca</w:t>
      </w:r>
      <w:r w:rsidR="00BD778D">
        <w:rPr>
          <w:rFonts w:asciiTheme="majorHAnsi" w:hAnsiTheme="majorHAnsi" w:cstheme="majorHAnsi"/>
          <w:lang w:val="es-CO"/>
        </w:rPr>
        <w:t xml:space="preserve"> (UNICAUCA)</w:t>
      </w:r>
      <w:r>
        <w:rPr>
          <w:rFonts w:asciiTheme="majorHAnsi" w:hAnsiTheme="majorHAnsi" w:cstheme="majorHAnsi"/>
          <w:lang w:val="es-CO"/>
        </w:rPr>
        <w:t>.</w:t>
      </w:r>
      <w:r w:rsidR="00C7154F">
        <w:rPr>
          <w:rFonts w:asciiTheme="majorHAnsi" w:hAnsiTheme="majorHAnsi" w:cstheme="majorHAnsi"/>
          <w:lang w:val="es-CO"/>
        </w:rPr>
        <w:t xml:space="preserve"> </w:t>
      </w:r>
      <w:r w:rsidR="00725781">
        <w:rPr>
          <w:rFonts w:asciiTheme="majorHAnsi" w:hAnsiTheme="majorHAnsi" w:cstheme="majorHAnsi"/>
          <w:lang w:val="es-CO"/>
        </w:rPr>
        <w:t xml:space="preserve">En particular, este documento corresponde a la </w:t>
      </w:r>
      <w:r w:rsidR="006070D6">
        <w:rPr>
          <w:rFonts w:asciiTheme="majorHAnsi" w:hAnsiTheme="majorHAnsi" w:cstheme="majorHAnsi"/>
          <w:lang w:val="es-CO"/>
        </w:rPr>
        <w:t>Actividad</w:t>
      </w:r>
      <w:r w:rsidR="006070D6" w:rsidRPr="006070D6">
        <w:rPr>
          <w:rFonts w:asciiTheme="majorHAnsi" w:hAnsiTheme="majorHAnsi" w:cstheme="majorHAnsi"/>
          <w:lang w:val="es-CO"/>
        </w:rPr>
        <w:t xml:space="preserve"> 1</w:t>
      </w:r>
      <w:r w:rsidR="006070D6">
        <w:rPr>
          <w:rFonts w:asciiTheme="majorHAnsi" w:hAnsiTheme="majorHAnsi" w:cstheme="majorHAnsi"/>
          <w:lang w:val="es-CO"/>
        </w:rPr>
        <w:t>:</w:t>
      </w:r>
      <w:r w:rsidR="006070D6" w:rsidRPr="006070D6">
        <w:rPr>
          <w:rFonts w:asciiTheme="majorHAnsi" w:hAnsiTheme="majorHAnsi" w:cstheme="majorHAnsi"/>
          <w:lang w:val="es-CO"/>
        </w:rPr>
        <w:t xml:space="preserve"> Evaluación técnica y económica del uso del almidón y harina de yuca para la producción de resina plástica a escala piloto</w:t>
      </w:r>
    </w:p>
    <w:p w14:paraId="32295E39" w14:textId="4AF3B49D" w:rsidR="00725781" w:rsidRDefault="00C7154F" w:rsidP="6F0683D9">
      <w:pPr>
        <w:jc w:val="both"/>
        <w:rPr>
          <w:rFonts w:asciiTheme="majorHAnsi" w:hAnsiTheme="majorHAnsi" w:cstheme="majorHAnsi"/>
          <w:lang w:val="es-CO"/>
        </w:rPr>
      </w:pPr>
      <w:r>
        <w:rPr>
          <w:rFonts w:asciiTheme="majorHAnsi" w:hAnsiTheme="majorHAnsi" w:cstheme="majorHAnsi"/>
          <w:lang w:val="es-CO"/>
        </w:rPr>
        <w:t>E</w:t>
      </w:r>
      <w:r w:rsidR="00725781" w:rsidRPr="00725781">
        <w:rPr>
          <w:rFonts w:asciiTheme="majorHAnsi" w:hAnsiTheme="majorHAnsi" w:cstheme="majorHAnsi"/>
          <w:lang w:val="es-CO"/>
        </w:rPr>
        <w:t>l documento va a</w:t>
      </w:r>
      <w:r w:rsidR="00725781">
        <w:rPr>
          <w:rFonts w:asciiTheme="majorHAnsi" w:hAnsiTheme="majorHAnsi" w:cstheme="majorHAnsi"/>
          <w:lang w:val="es-CO"/>
        </w:rPr>
        <w:t xml:space="preserve"> estar estructurado de la siguiente manera:</w:t>
      </w:r>
    </w:p>
    <w:p w14:paraId="193D3186" w14:textId="7826F808" w:rsidR="00725781" w:rsidRDefault="00897536" w:rsidP="6F0683D9">
      <w:pPr>
        <w:jc w:val="both"/>
        <w:rPr>
          <w:rFonts w:asciiTheme="majorHAnsi" w:hAnsiTheme="majorHAnsi" w:cstheme="majorHAnsi"/>
          <w:lang w:val="es-CO"/>
        </w:rPr>
      </w:pPr>
      <w:r>
        <w:rPr>
          <w:rFonts w:asciiTheme="majorHAnsi" w:hAnsiTheme="majorHAnsi" w:cstheme="majorHAnsi"/>
          <w:lang w:val="es-CO"/>
        </w:rPr>
        <w:t xml:space="preserve">En la primera parte se </w:t>
      </w:r>
      <w:r w:rsidR="000952A3">
        <w:rPr>
          <w:rFonts w:asciiTheme="majorHAnsi" w:hAnsiTheme="majorHAnsi" w:cstheme="majorHAnsi"/>
          <w:lang w:val="es-CO"/>
        </w:rPr>
        <w:t xml:space="preserve">presenta el contexto y las principales fuentes consultadas bajo las cuales se </w:t>
      </w:r>
      <w:r w:rsidR="006F228D" w:rsidRPr="006F228D">
        <w:rPr>
          <w:rFonts w:asciiTheme="majorHAnsi" w:hAnsiTheme="majorHAnsi" w:cstheme="majorHAnsi"/>
          <w:lang w:val="es-CO"/>
        </w:rPr>
        <w:t>identificar</w:t>
      </w:r>
      <w:r w:rsidR="000952A3">
        <w:rPr>
          <w:rFonts w:asciiTheme="majorHAnsi" w:hAnsiTheme="majorHAnsi" w:cstheme="majorHAnsi"/>
          <w:lang w:val="es-CO"/>
        </w:rPr>
        <w:t>on</w:t>
      </w:r>
      <w:r w:rsidR="006F228D" w:rsidRPr="006F228D">
        <w:rPr>
          <w:rFonts w:asciiTheme="majorHAnsi" w:hAnsiTheme="majorHAnsi" w:cstheme="majorHAnsi"/>
          <w:lang w:val="es-CO"/>
        </w:rPr>
        <w:t xml:space="preserve"> </w:t>
      </w:r>
      <w:r w:rsidR="007C50A9">
        <w:rPr>
          <w:rFonts w:asciiTheme="majorHAnsi" w:hAnsiTheme="majorHAnsi" w:cstheme="majorHAnsi"/>
          <w:lang w:val="es-CO"/>
        </w:rPr>
        <w:t>los criterios clave para evaluar el cambio económico a lo largo de la cadena de valor de la yuca</w:t>
      </w:r>
      <w:r w:rsidR="006F228D" w:rsidRPr="006F228D">
        <w:rPr>
          <w:rFonts w:asciiTheme="majorHAnsi" w:hAnsiTheme="majorHAnsi" w:cstheme="majorHAnsi"/>
          <w:lang w:val="es-CO"/>
        </w:rPr>
        <w:t>.</w:t>
      </w:r>
      <w:r>
        <w:rPr>
          <w:rFonts w:asciiTheme="majorHAnsi" w:hAnsiTheme="majorHAnsi" w:cstheme="majorHAnsi"/>
          <w:lang w:val="es-CO"/>
        </w:rPr>
        <w:t xml:space="preserve"> </w:t>
      </w:r>
      <w:r w:rsidR="00CD689B">
        <w:rPr>
          <w:rFonts w:asciiTheme="majorHAnsi" w:hAnsiTheme="majorHAnsi" w:cstheme="majorHAnsi"/>
          <w:lang w:val="es-CO"/>
        </w:rPr>
        <w:t xml:space="preserve">En la segunda sección se </w:t>
      </w:r>
      <w:r w:rsidR="00634E1C">
        <w:rPr>
          <w:rFonts w:asciiTheme="majorHAnsi" w:hAnsiTheme="majorHAnsi" w:cstheme="majorHAnsi"/>
          <w:lang w:val="es-CO"/>
        </w:rPr>
        <w:t xml:space="preserve">presenta el instrumento diseñado, junto con los actores </w:t>
      </w:r>
      <w:r w:rsidR="00BE5E22">
        <w:rPr>
          <w:rFonts w:asciiTheme="majorHAnsi" w:hAnsiTheme="majorHAnsi" w:cstheme="majorHAnsi"/>
          <w:lang w:val="es-CO"/>
        </w:rPr>
        <w:t>priorizados</w:t>
      </w:r>
      <w:r w:rsidR="00634E1C">
        <w:rPr>
          <w:rFonts w:asciiTheme="majorHAnsi" w:hAnsiTheme="majorHAnsi" w:cstheme="majorHAnsi"/>
          <w:lang w:val="es-CO"/>
        </w:rPr>
        <w:t xml:space="preserve">. </w:t>
      </w:r>
      <w:r w:rsidR="009709E9">
        <w:rPr>
          <w:rFonts w:asciiTheme="majorHAnsi" w:hAnsiTheme="majorHAnsi" w:cstheme="majorHAnsi"/>
          <w:lang w:val="es-CO"/>
        </w:rPr>
        <w:t>En la tercera parte, se analizan los resultados</w:t>
      </w:r>
      <w:r w:rsidR="00A966C7">
        <w:rPr>
          <w:rFonts w:asciiTheme="majorHAnsi" w:hAnsiTheme="majorHAnsi" w:cstheme="majorHAnsi"/>
          <w:lang w:val="es-CO"/>
        </w:rPr>
        <w:t>.</w:t>
      </w:r>
      <w:r w:rsidR="006765D0">
        <w:rPr>
          <w:rFonts w:asciiTheme="majorHAnsi" w:hAnsiTheme="majorHAnsi" w:cstheme="majorHAnsi"/>
          <w:lang w:val="es-CO"/>
        </w:rPr>
        <w:t xml:space="preserve"> </w:t>
      </w:r>
      <w:r w:rsidR="009709E9">
        <w:rPr>
          <w:rFonts w:asciiTheme="majorHAnsi" w:hAnsiTheme="majorHAnsi" w:cstheme="majorHAnsi"/>
          <w:lang w:val="es-CO"/>
        </w:rPr>
        <w:t>Y, f</w:t>
      </w:r>
      <w:r w:rsidR="006765D0">
        <w:rPr>
          <w:rFonts w:asciiTheme="majorHAnsi" w:hAnsiTheme="majorHAnsi" w:cstheme="majorHAnsi"/>
          <w:lang w:val="es-CO"/>
        </w:rPr>
        <w:t>inalmente, se presentan las conclusiones del ejercicio.</w:t>
      </w:r>
    </w:p>
    <w:p w14:paraId="0E6D1AA5" w14:textId="77777777" w:rsidR="00A966C7" w:rsidRDefault="00A966C7" w:rsidP="6F0683D9">
      <w:pPr>
        <w:jc w:val="both"/>
        <w:rPr>
          <w:rFonts w:asciiTheme="majorHAnsi" w:hAnsiTheme="majorHAnsi" w:cstheme="majorHAnsi"/>
          <w:lang w:val="es-CO"/>
        </w:rPr>
      </w:pPr>
    </w:p>
    <w:p w14:paraId="4A8B1934" w14:textId="77777777" w:rsidR="006F228D" w:rsidRPr="00725781" w:rsidRDefault="006F228D" w:rsidP="6F0683D9">
      <w:pPr>
        <w:jc w:val="both"/>
        <w:rPr>
          <w:rFonts w:asciiTheme="majorHAnsi" w:hAnsiTheme="majorHAnsi" w:cstheme="majorHAnsi"/>
          <w:lang w:val="es-CO"/>
        </w:rPr>
      </w:pPr>
    </w:p>
    <w:p w14:paraId="0F46D78A" w14:textId="77777777" w:rsidR="007C7B53" w:rsidRPr="00F67D37" w:rsidRDefault="007C7B53" w:rsidP="00213CED">
      <w:pPr>
        <w:rPr>
          <w:rFonts w:asciiTheme="majorHAnsi" w:hAnsiTheme="majorHAnsi" w:cstheme="majorHAnsi"/>
          <w:lang w:val="es-CO"/>
        </w:rPr>
      </w:pPr>
    </w:p>
    <w:p w14:paraId="53D17A41" w14:textId="62339B7D" w:rsidR="00002C2B" w:rsidRPr="00251740" w:rsidRDefault="00002C2B">
      <w:pPr>
        <w:spacing w:after="0" w:line="240" w:lineRule="auto"/>
        <w:ind w:right="0"/>
        <w:rPr>
          <w:rFonts w:asciiTheme="majorHAnsi" w:hAnsiTheme="majorHAnsi" w:cstheme="majorHAnsi"/>
          <w:i/>
          <w:lang w:val="es-CO"/>
        </w:rPr>
      </w:pPr>
      <w:r w:rsidRPr="00251740">
        <w:rPr>
          <w:rFonts w:asciiTheme="majorHAnsi" w:hAnsiTheme="majorHAnsi" w:cstheme="majorHAnsi"/>
          <w:i/>
          <w:lang w:val="es-CO"/>
        </w:rPr>
        <w:br w:type="page"/>
      </w:r>
    </w:p>
    <w:p w14:paraId="5A7ECB4E" w14:textId="3553D5F2" w:rsidR="00A95E29" w:rsidRPr="00F67D37" w:rsidRDefault="00D469CC" w:rsidP="00773396">
      <w:pPr>
        <w:pStyle w:val="Ttulo1"/>
        <w:numPr>
          <w:ilvl w:val="0"/>
          <w:numId w:val="3"/>
        </w:numPr>
        <w:rPr>
          <w:rFonts w:asciiTheme="majorHAnsi" w:hAnsiTheme="majorHAnsi" w:cstheme="majorHAnsi"/>
          <w:lang w:val="es-CO"/>
        </w:rPr>
      </w:pPr>
      <w:bookmarkStart w:id="4" w:name="_Toc217565991"/>
      <w:r>
        <w:rPr>
          <w:rFonts w:asciiTheme="majorHAnsi" w:hAnsiTheme="majorHAnsi" w:cstheme="majorHAnsi"/>
          <w:lang w:val="es-CO"/>
        </w:rPr>
        <w:lastRenderedPageBreak/>
        <w:t>Contexto</w:t>
      </w:r>
      <w:bookmarkEnd w:id="4"/>
    </w:p>
    <w:p w14:paraId="70A45A02" w14:textId="77777777" w:rsidR="00051AAF" w:rsidRDefault="00051AAF" w:rsidP="000F0D81">
      <w:pPr>
        <w:spacing w:after="0" w:line="240" w:lineRule="auto"/>
        <w:ind w:right="0"/>
        <w:jc w:val="both"/>
        <w:rPr>
          <w:rFonts w:cs="Calibre Regular"/>
          <w:lang w:val="es-CO"/>
        </w:rPr>
      </w:pPr>
    </w:p>
    <w:p w14:paraId="0E7A6C73" w14:textId="0AB29879" w:rsidR="00293D14" w:rsidRPr="00293D14" w:rsidRDefault="00293D14" w:rsidP="00293D14">
      <w:pPr>
        <w:jc w:val="both"/>
        <w:rPr>
          <w:rFonts w:asciiTheme="majorHAnsi" w:hAnsiTheme="majorHAnsi" w:cstheme="majorHAnsi"/>
          <w:lang w:val="es-CO"/>
        </w:rPr>
      </w:pPr>
      <w:r w:rsidRPr="00293D14">
        <w:rPr>
          <w:rFonts w:asciiTheme="majorHAnsi" w:hAnsiTheme="majorHAnsi" w:cstheme="majorHAnsi"/>
          <w:lang w:val="es-CO"/>
        </w:rPr>
        <w:t>La cadena de valor de la yuca en Colombia representa una importante oportunidad económica, especialmente en el contexto de la bioeconomía, con un gran potencial para el desarrollo territorial</w:t>
      </w:r>
      <w:r>
        <w:rPr>
          <w:rFonts w:asciiTheme="majorHAnsi" w:hAnsiTheme="majorHAnsi" w:cstheme="majorHAnsi"/>
          <w:lang w:val="es-CO"/>
        </w:rPr>
        <w:t xml:space="preserve"> de Colombia</w:t>
      </w:r>
      <w:r w:rsidRPr="00293D14">
        <w:rPr>
          <w:rFonts w:asciiTheme="majorHAnsi" w:hAnsiTheme="majorHAnsi" w:cstheme="majorHAnsi"/>
          <w:lang w:val="es-CO"/>
        </w:rPr>
        <w:t>. Diversos estudios han demostrado cómo este sector puede generar encadenamientos económicos significativos, especialmente en las zonas rurales, al considerar los procesos vinculados a la siembra y cosecha del cultivo</w:t>
      </w:r>
      <w:r w:rsidR="003C4DC6">
        <w:rPr>
          <w:rFonts w:asciiTheme="majorHAnsi" w:hAnsiTheme="majorHAnsi" w:cstheme="majorHAnsi"/>
          <w:lang w:val="es-CO"/>
        </w:rPr>
        <w:t xml:space="preserve"> </w:t>
      </w:r>
      <w:r w:rsidR="003C4DC6">
        <w:rPr>
          <w:rFonts w:asciiTheme="majorHAnsi" w:hAnsiTheme="majorHAnsi" w:cstheme="majorHAnsi"/>
          <w:lang w:val="es-CO"/>
        </w:rPr>
        <w:fldChar w:fldCharType="begin"/>
      </w:r>
      <w:r w:rsidR="003C4DC6">
        <w:rPr>
          <w:rFonts w:asciiTheme="majorHAnsi" w:hAnsiTheme="majorHAnsi" w:cstheme="majorHAnsi"/>
          <w:lang w:val="es-CO"/>
        </w:rPr>
        <w:instrText xml:space="preserve"> ADDIN ZOTERO_ITEM CSL_CITATION {"citationID":"oHptALs1","properties":{"formattedCitation":"(Canales &amp; Trujillo, 2021)","plainCitation":"(Canales &amp; Trujillo, 2021)","noteIndex":0},"citationItems":[{"id":1884,"uris":["http://zotero.org/groups/4898838/items/83AWGUQQ"],"itemData":{"id":1884,"type":"article-journal","container-title":"Instituto de Ambiente de Estocolmo","page":"1–30","title":"La red de valor de la yuca y su potencial en la bioeconomía de Colombia","author":[{"family":"Canales","given":"Nella"},{"family":"Trujillo","given":"Mónica"}],"issued":{"date-parts":[["2021"]]}}}],"schema":"https://github.com/citation-style-language/schema/raw/master/csl-citation.json"} </w:instrText>
      </w:r>
      <w:r w:rsidR="003C4DC6">
        <w:rPr>
          <w:rFonts w:asciiTheme="majorHAnsi" w:hAnsiTheme="majorHAnsi" w:cstheme="majorHAnsi"/>
          <w:lang w:val="es-CO"/>
        </w:rPr>
        <w:fldChar w:fldCharType="separate"/>
      </w:r>
      <w:r w:rsidR="003C4DC6" w:rsidRPr="006946F2">
        <w:rPr>
          <w:rFonts w:cs="Calibri"/>
          <w:lang w:val="es-CO"/>
        </w:rPr>
        <w:t>(Canales &amp; Trujillo, 2021)</w:t>
      </w:r>
      <w:r w:rsidR="003C4DC6">
        <w:rPr>
          <w:rFonts w:asciiTheme="majorHAnsi" w:hAnsiTheme="majorHAnsi" w:cstheme="majorHAnsi"/>
          <w:lang w:val="es-CO"/>
        </w:rPr>
        <w:fldChar w:fldCharType="end"/>
      </w:r>
      <w:r w:rsidRPr="00293D14">
        <w:rPr>
          <w:rFonts w:asciiTheme="majorHAnsi" w:hAnsiTheme="majorHAnsi" w:cstheme="majorHAnsi"/>
          <w:lang w:val="es-CO"/>
        </w:rPr>
        <w:t>. Estos encadenamientos, sin embargo, no se limitan a la ruralidad, ya que la transformación de la yuca en productos y subproductos de mayor valor agregado, como el almidón,</w:t>
      </w:r>
      <w:r w:rsidR="00E72D37">
        <w:rPr>
          <w:rFonts w:asciiTheme="majorHAnsi" w:hAnsiTheme="majorHAnsi" w:cstheme="majorHAnsi"/>
          <w:lang w:val="es-CO"/>
        </w:rPr>
        <w:t xml:space="preserve"> amplía su impacto económico también en diversas industrias</w:t>
      </w:r>
      <w:r w:rsidR="002322F1">
        <w:rPr>
          <w:rFonts w:asciiTheme="majorHAnsi" w:hAnsiTheme="majorHAnsi" w:cstheme="majorHAnsi"/>
          <w:lang w:val="es-CO"/>
        </w:rPr>
        <w:t xml:space="preserve"> </w:t>
      </w:r>
      <w:r w:rsidR="00D43D6A">
        <w:rPr>
          <w:rFonts w:asciiTheme="majorHAnsi" w:hAnsiTheme="majorHAnsi" w:cstheme="majorHAnsi"/>
          <w:lang w:val="es-CO"/>
        </w:rPr>
        <w:fldChar w:fldCharType="begin"/>
      </w:r>
      <w:r w:rsidR="00D43D6A">
        <w:rPr>
          <w:rFonts w:asciiTheme="majorHAnsi" w:hAnsiTheme="majorHAnsi" w:cstheme="majorHAnsi"/>
          <w:lang w:val="es-CO"/>
        </w:rPr>
        <w:instrText xml:space="preserve"> ADDIN ZOTERO_ITEM CSL_CITATION {"citationID":"nhriPyl4","properties":{"formattedCitation":"(Poku et\\uc0\\u160{}al., 2018)","plainCitation":"(Poku et al., 2018)","noteIndex":0},"citationItems":[{"id":17,"uris":["http://zotero.org/groups/4898838/items/INZHJYU8"],"itemData":{"id":17,"type":"article-journal","container-title":"Journal of Cleaner Production","DOI":"10.1016/j.jclepro.2018.07.290","ISSN":"09596526","journalAbbreviation":"Journal of Cleaner Production","language":"en","page":"134-147","source":"DOI.org (Crossref)","title":"Is Africa ready to develop a competitive bioeconomy? The case of the cassava value web in Ghana","title-short":"Is Africa ready to develop a competitive bioeconomy?","volume":"200","author":[{"family":"Poku","given":"Adu-Gyamfi"},{"family":"Birner","given":"Regina"},{"family":"Gupta","given":"Saurabh"}],"issued":{"date-parts":[["2018",11]]}}}],"schema":"https://github.com/citation-style-language/schema/raw/master/csl-citation.json"} </w:instrText>
      </w:r>
      <w:r w:rsidR="00D43D6A">
        <w:rPr>
          <w:rFonts w:asciiTheme="majorHAnsi" w:hAnsiTheme="majorHAnsi" w:cstheme="majorHAnsi"/>
          <w:lang w:val="es-CO"/>
        </w:rPr>
        <w:fldChar w:fldCharType="separate"/>
      </w:r>
      <w:r w:rsidR="00D43D6A" w:rsidRPr="00D43D6A">
        <w:rPr>
          <w:rFonts w:cs="Calibri"/>
          <w:lang w:val="es-CO"/>
        </w:rPr>
        <w:t>(Poku et al., 2018)</w:t>
      </w:r>
      <w:r w:rsidR="00D43D6A">
        <w:rPr>
          <w:rFonts w:asciiTheme="majorHAnsi" w:hAnsiTheme="majorHAnsi" w:cstheme="majorHAnsi"/>
          <w:lang w:val="es-CO"/>
        </w:rPr>
        <w:fldChar w:fldCharType="end"/>
      </w:r>
      <w:r>
        <w:rPr>
          <w:rFonts w:asciiTheme="majorHAnsi" w:hAnsiTheme="majorHAnsi" w:cstheme="majorHAnsi"/>
          <w:lang w:val="es-CO"/>
        </w:rPr>
        <w:t>.</w:t>
      </w:r>
    </w:p>
    <w:p w14:paraId="3D3F2C46" w14:textId="7DB38546" w:rsidR="00293D14" w:rsidRPr="00293D14" w:rsidRDefault="00293D14" w:rsidP="00293D14">
      <w:pPr>
        <w:jc w:val="both"/>
        <w:rPr>
          <w:rFonts w:asciiTheme="majorHAnsi" w:hAnsiTheme="majorHAnsi" w:cstheme="majorHAnsi"/>
          <w:lang w:val="es-CO"/>
        </w:rPr>
      </w:pPr>
      <w:r w:rsidRPr="00293D14">
        <w:rPr>
          <w:rFonts w:asciiTheme="majorHAnsi" w:hAnsiTheme="majorHAnsi" w:cstheme="majorHAnsi"/>
          <w:lang w:val="es-CO"/>
        </w:rPr>
        <w:t>El rol de la yuca como motor de desarrollo territorial subraya la necesidad de medir su desempeño económico, con el objetivo de cuantificar sus fluctuaciones, impactos y su capacidad para generar ingresos a nivel local. Este informe se enfoca en aplicar una serie de indicadores que permitan analizar el cambio económico dentro de la cadena de valor de la yuca, proporcionando una visión clara de su evolución</w:t>
      </w:r>
      <w:r>
        <w:rPr>
          <w:rFonts w:asciiTheme="majorHAnsi" w:hAnsiTheme="majorHAnsi" w:cstheme="majorHAnsi"/>
          <w:lang w:val="es-CO"/>
        </w:rPr>
        <w:t xml:space="preserve"> y su potencial de crecimiento.</w:t>
      </w:r>
    </w:p>
    <w:p w14:paraId="15F99BE0" w14:textId="0814BBFD" w:rsidR="00513BB2" w:rsidRPr="00513BB2" w:rsidRDefault="00293D14" w:rsidP="00513BB2">
      <w:pPr>
        <w:jc w:val="both"/>
        <w:rPr>
          <w:rFonts w:asciiTheme="majorHAnsi" w:hAnsiTheme="majorHAnsi" w:cstheme="majorHAnsi"/>
          <w:lang w:val="es-CO"/>
        </w:rPr>
      </w:pPr>
      <w:r w:rsidRPr="00293D14">
        <w:rPr>
          <w:rFonts w:asciiTheme="majorHAnsi" w:hAnsiTheme="majorHAnsi" w:cstheme="majorHAnsi"/>
          <w:lang w:val="es-CO"/>
        </w:rPr>
        <w:t>Para alinear la medición del cambio económico con los objetivos de las políticas públicas nacionales y los marcos internacionales de bioeconomía, se han considerado los indicadores propuestos por la Estrategia Nacional de Bioeconomía</w:t>
      </w:r>
      <w:r w:rsidR="005C0560">
        <w:rPr>
          <w:rFonts w:asciiTheme="majorHAnsi" w:hAnsiTheme="majorHAnsi" w:cstheme="majorHAnsi"/>
          <w:lang w:val="es-CO"/>
        </w:rPr>
        <w:t xml:space="preserve"> </w:t>
      </w:r>
      <w:r w:rsidR="005C0560">
        <w:rPr>
          <w:rFonts w:asciiTheme="majorHAnsi" w:hAnsiTheme="majorHAnsi" w:cstheme="majorHAnsi"/>
          <w:lang w:val="es-CO"/>
        </w:rPr>
        <w:fldChar w:fldCharType="begin"/>
      </w:r>
      <w:r w:rsidR="005C0560">
        <w:rPr>
          <w:rFonts w:asciiTheme="majorHAnsi" w:hAnsiTheme="majorHAnsi" w:cstheme="majorHAnsi"/>
          <w:lang w:val="es-CO"/>
        </w:rPr>
        <w:instrText xml:space="preserve"> ADDIN ZOTERO_ITEM CSL_CITATION {"citationID":"G5P4Sfw4","properties":{"formattedCitation":"(Gobierno de Colombia, 2020)","plainCitation":"(Gobierno de Colombia, 2020)","noteIndex":0},"citationItems":[{"id":154,"uris":["http://zotero.org/groups/4898838/items/TFCC9VWQ"],"itemData":{"id":154,"type":"document","language":"ES","title":"Bioeconomía para una Colombia potencia viva y diversa: Hacia una sociedad impulsada por el conocimiento.","URL":"https://minciencias.gov.co/sites/default/files/upload/paginas/bioeconomia_para_un_crecimiento_sostenible-qm_print.pdf","author":[{"family":"Gobierno de Colombia","given":""}],"issued":{"date-parts":[["2020"]]}}}],"schema":"https://github.com/citation-style-language/schema/raw/master/csl-citation.json"} </w:instrText>
      </w:r>
      <w:r w:rsidR="005C0560">
        <w:rPr>
          <w:rFonts w:asciiTheme="majorHAnsi" w:hAnsiTheme="majorHAnsi" w:cstheme="majorHAnsi"/>
          <w:lang w:val="es-CO"/>
        </w:rPr>
        <w:fldChar w:fldCharType="separate"/>
      </w:r>
      <w:r w:rsidR="005C0560" w:rsidRPr="008922C7">
        <w:rPr>
          <w:rFonts w:cs="Calibri"/>
          <w:lang w:val="es-CO"/>
        </w:rPr>
        <w:t>(Gobierno de Colombia, 2020)</w:t>
      </w:r>
      <w:r w:rsidR="005C0560">
        <w:rPr>
          <w:rFonts w:asciiTheme="majorHAnsi" w:hAnsiTheme="majorHAnsi" w:cstheme="majorHAnsi"/>
          <w:lang w:val="es-CO"/>
        </w:rPr>
        <w:fldChar w:fldCharType="end"/>
      </w:r>
      <w:r w:rsidR="000952A3">
        <w:rPr>
          <w:rFonts w:asciiTheme="majorHAnsi" w:hAnsiTheme="majorHAnsi" w:cstheme="majorHAnsi"/>
          <w:lang w:val="es-CO"/>
        </w:rPr>
        <w:t>, la Misión de Bioeconomía y Territorio</w:t>
      </w:r>
      <w:r w:rsidR="00E847B3">
        <w:rPr>
          <w:rFonts w:asciiTheme="majorHAnsi" w:hAnsiTheme="majorHAnsi" w:cstheme="majorHAnsi"/>
          <w:lang w:val="es-CO"/>
        </w:rPr>
        <w:t xml:space="preserve"> </w:t>
      </w:r>
      <w:r w:rsidR="00E847B3">
        <w:rPr>
          <w:rFonts w:asciiTheme="majorHAnsi" w:hAnsiTheme="majorHAnsi" w:cstheme="majorHAnsi"/>
          <w:lang w:val="es-CO"/>
        </w:rPr>
        <w:fldChar w:fldCharType="begin"/>
      </w:r>
      <w:r w:rsidR="00E847B3">
        <w:rPr>
          <w:rFonts w:asciiTheme="majorHAnsi" w:hAnsiTheme="majorHAnsi" w:cstheme="majorHAnsi"/>
          <w:lang w:val="es-CO"/>
        </w:rPr>
        <w:instrText xml:space="preserve"> ADDIN ZOTERO_ITEM CSL_CITATION {"citationID":"rYApuSsW","properties":{"formattedCitation":"(Ministerio de Ciencias, Tecnolog\\uc0\\u237{}a e Innovaci\\uc0\\u243{}n, 2023)","plainCitation":"(Ministerio de Ciencias, Tecnología e Innovación, 2023)","noteIndex":0},"citationItems":[{"id":648,"uris":["http://zotero.org/groups/4891793/items/VGPWJS9E"],"itemData":{"id":648,"type":"document","title":"Misión de Bioeconomía y Territorio","URL":"chrome-extension://efaidnbmnnnibpcajpcglclefindmkaj/https://minciencias.gov.co/sites/default/files/upload/noticias/1._documento_de_politica_bioeconomia_y_territorio.pdf","author":[{"family":"Ministerio de Ciencias, Tecnología e Innovación","given":""}],"issued":{"date-parts":[["2023"]]}}}],"schema":"https://github.com/citation-style-language/schema/raw/master/csl-citation.json"} </w:instrText>
      </w:r>
      <w:r w:rsidR="00E847B3">
        <w:rPr>
          <w:rFonts w:asciiTheme="majorHAnsi" w:hAnsiTheme="majorHAnsi" w:cstheme="majorHAnsi"/>
          <w:lang w:val="es-CO"/>
        </w:rPr>
        <w:fldChar w:fldCharType="separate"/>
      </w:r>
      <w:r w:rsidR="00E847B3" w:rsidRPr="005C0560">
        <w:rPr>
          <w:rFonts w:cs="Calibri"/>
          <w:lang w:val="es-CO"/>
        </w:rPr>
        <w:t>(Ministerio de Ciencias, Tecnología e Innovación, 2023)</w:t>
      </w:r>
      <w:r w:rsidR="00E847B3">
        <w:rPr>
          <w:rFonts w:asciiTheme="majorHAnsi" w:hAnsiTheme="majorHAnsi" w:cstheme="majorHAnsi"/>
          <w:lang w:val="es-CO"/>
        </w:rPr>
        <w:fldChar w:fldCharType="end"/>
      </w:r>
      <w:r w:rsidRPr="00293D14">
        <w:rPr>
          <w:rFonts w:asciiTheme="majorHAnsi" w:hAnsiTheme="majorHAnsi" w:cstheme="majorHAnsi"/>
          <w:lang w:val="es-CO"/>
        </w:rPr>
        <w:t>, así como aquellos recopilados por el Min</w:t>
      </w:r>
      <w:r w:rsidR="00E72D37">
        <w:rPr>
          <w:rFonts w:asciiTheme="majorHAnsi" w:hAnsiTheme="majorHAnsi" w:cstheme="majorHAnsi"/>
          <w:lang w:val="es-CO"/>
        </w:rPr>
        <w:t xml:space="preserve">isterio de Agricultura </w:t>
      </w:r>
      <w:r w:rsidR="00E72D37" w:rsidRPr="00293D14">
        <w:rPr>
          <w:rFonts w:asciiTheme="majorHAnsi" w:hAnsiTheme="majorHAnsi" w:cstheme="majorHAnsi"/>
          <w:lang w:val="es-CO"/>
        </w:rPr>
        <w:t>en relación con la cadena de valor de la yuca</w:t>
      </w:r>
      <w:r w:rsidR="00E72D37">
        <w:rPr>
          <w:rFonts w:asciiTheme="majorHAnsi" w:hAnsiTheme="majorHAnsi" w:cstheme="majorHAnsi"/>
          <w:lang w:val="es-CO"/>
        </w:rPr>
        <w:t xml:space="preserve"> y los indicadores sugeridos por la FAO para </w:t>
      </w:r>
      <w:r w:rsidR="000952A3">
        <w:rPr>
          <w:rFonts w:asciiTheme="majorHAnsi" w:hAnsiTheme="majorHAnsi" w:cstheme="majorHAnsi"/>
          <w:lang w:val="es-CO"/>
        </w:rPr>
        <w:t xml:space="preserve">una </w:t>
      </w:r>
      <w:r w:rsidR="00E72D37">
        <w:rPr>
          <w:rFonts w:asciiTheme="majorHAnsi" w:hAnsiTheme="majorHAnsi" w:cstheme="majorHAnsi"/>
          <w:lang w:val="es-CO"/>
        </w:rPr>
        <w:t>bioeconomía sostenible</w:t>
      </w:r>
      <w:r w:rsidR="007A6D6B">
        <w:rPr>
          <w:rFonts w:asciiTheme="majorHAnsi" w:hAnsiTheme="majorHAnsi" w:cstheme="majorHAnsi"/>
          <w:lang w:val="es-CO"/>
        </w:rPr>
        <w:t xml:space="preserve"> </w:t>
      </w:r>
      <w:r w:rsidR="007A6D6B">
        <w:rPr>
          <w:rFonts w:asciiTheme="majorHAnsi" w:hAnsiTheme="majorHAnsi" w:cstheme="majorHAnsi"/>
          <w:lang w:val="es-CO"/>
        </w:rPr>
        <w:fldChar w:fldCharType="begin"/>
      </w:r>
      <w:r w:rsidR="007A6D6B">
        <w:rPr>
          <w:rFonts w:asciiTheme="majorHAnsi" w:hAnsiTheme="majorHAnsi" w:cstheme="majorHAnsi"/>
          <w:lang w:val="es-CO"/>
        </w:rPr>
        <w:instrText xml:space="preserve"> ADDIN ZOTERO_ITEM CSL_CITATION {"citationID":"tRU5KPX9","properties":{"formattedCitation":"(Bracco et\\uc0\\u160{}al., 2019)","plainCitation":"(Bracco et al., 2019)","noteIndex":0},"citationItems":[{"id":1873,"uris":["http://zotero.org/groups/4898838/items/GQD9E83Z"],"itemData":{"id":1873,"type":"document","note":"FOOD AND AGRICULTURE ORGANIZATION OF THE UNITED NATIONS. Rome.","title":"Indicators to monitor and evaluate the sustainability of bioeconomy. Overview and a proposed way forward.","author":[{"family":"Bracco","given":"Stefania"},{"family":"Tani","given":"Almona"},{"family":"Çalıcıoğlu","given":"Özgül"},{"family":"Gómez San Juan","given":"Marta"},{"family":"Bogdanski","given":"Anne"}],"issued":{"date-parts":[["2019"]]}}}],"schema":"https://github.com/citation-style-language/schema/raw/master/csl-citation.json"} </w:instrText>
      </w:r>
      <w:r w:rsidR="007A6D6B">
        <w:rPr>
          <w:rFonts w:asciiTheme="majorHAnsi" w:hAnsiTheme="majorHAnsi" w:cstheme="majorHAnsi"/>
          <w:lang w:val="es-CO"/>
        </w:rPr>
        <w:fldChar w:fldCharType="separate"/>
      </w:r>
      <w:r w:rsidR="007A6D6B" w:rsidRPr="007A6D6B">
        <w:rPr>
          <w:rFonts w:cs="Calibri"/>
          <w:lang w:val="es-CO"/>
        </w:rPr>
        <w:t>(Bracco et al., 2019)</w:t>
      </w:r>
      <w:r w:rsidR="007A6D6B">
        <w:rPr>
          <w:rFonts w:asciiTheme="majorHAnsi" w:hAnsiTheme="majorHAnsi" w:cstheme="majorHAnsi"/>
          <w:lang w:val="es-CO"/>
        </w:rPr>
        <w:fldChar w:fldCharType="end"/>
      </w:r>
      <w:r w:rsidR="00E72D37">
        <w:rPr>
          <w:rFonts w:asciiTheme="majorHAnsi" w:hAnsiTheme="majorHAnsi" w:cstheme="majorHAnsi"/>
          <w:lang w:val="es-CO"/>
        </w:rPr>
        <w:t>.</w:t>
      </w:r>
    </w:p>
    <w:p w14:paraId="08EAC7F0" w14:textId="5E08A3A5" w:rsidR="00513BB2" w:rsidRPr="00513BB2" w:rsidRDefault="00513BB2" w:rsidP="00513BB2">
      <w:pPr>
        <w:jc w:val="both"/>
        <w:rPr>
          <w:rFonts w:asciiTheme="majorHAnsi" w:hAnsiTheme="majorHAnsi" w:cstheme="majorHAnsi"/>
          <w:lang w:val="es-CO"/>
        </w:rPr>
      </w:pPr>
      <w:r w:rsidRPr="00513BB2">
        <w:rPr>
          <w:rFonts w:asciiTheme="majorHAnsi" w:hAnsiTheme="majorHAnsi" w:cstheme="majorHAnsi"/>
          <w:lang w:val="es-CO"/>
        </w:rPr>
        <w:t>En el marco de las políticas nacionales de bioeconomía, la Estrategia Nacional de Bioeconomía de Colombia, lanzada en 2020, subrayó la importancia de promover modelos económicos que utilicen la biodiversidad y la biomasa de manera sostenible. Un aspecto clave de esta estrategia es la identificación de oportunidades para agregar valor a lo largo de la cadena de produc</w:t>
      </w:r>
      <w:r>
        <w:rPr>
          <w:rFonts w:asciiTheme="majorHAnsi" w:hAnsiTheme="majorHAnsi" w:cstheme="majorHAnsi"/>
          <w:lang w:val="es-CO"/>
        </w:rPr>
        <w:t>ción de productos como la yuca</w:t>
      </w:r>
      <w:r w:rsidR="008922C7">
        <w:rPr>
          <w:rFonts w:asciiTheme="majorHAnsi" w:hAnsiTheme="majorHAnsi" w:cstheme="majorHAnsi"/>
          <w:lang w:val="es-CO"/>
        </w:rPr>
        <w:t xml:space="preserve"> </w:t>
      </w:r>
      <w:r w:rsidR="008922C7">
        <w:rPr>
          <w:rFonts w:asciiTheme="majorHAnsi" w:hAnsiTheme="majorHAnsi" w:cstheme="majorHAnsi"/>
          <w:lang w:val="es-CO"/>
        </w:rPr>
        <w:fldChar w:fldCharType="begin"/>
      </w:r>
      <w:r w:rsidR="00DC48FD">
        <w:rPr>
          <w:rFonts w:asciiTheme="majorHAnsi" w:hAnsiTheme="majorHAnsi" w:cstheme="majorHAnsi"/>
          <w:lang w:val="es-CO"/>
        </w:rPr>
        <w:instrText xml:space="preserve"> ADDIN ZOTERO_ITEM CSL_CITATION {"citationID":"u9rDxlKE","properties":{"formattedCitation":"(Gobierno de Colombia, 2020)","plainCitation":"(Gobierno de Colombia, 2020)","noteIndex":0},"citationItems":[{"id":154,"uris":["http://zotero.org/groups/4898838/items/TFCC9VWQ"],"itemData":{"id":154,"type":"document","language":"ES","title":"Bioeconomía para una Colombia potencia viva y diversa: Hacia una sociedad impulsada por el conocimiento.","URL":"https://minciencias.gov.co/sites/default/files/upload/paginas/bioeconomia_para_un_crecimiento_sostenible-qm_print.pdf","author":[{"family":"Gobierno de Colombia","given":""}],"issued":{"date-parts":[["2020"]]}}}],"schema":"https://github.com/citation-style-language/schema/raw/master/csl-citation.json"} </w:instrText>
      </w:r>
      <w:r w:rsidR="008922C7">
        <w:rPr>
          <w:rFonts w:asciiTheme="majorHAnsi" w:hAnsiTheme="majorHAnsi" w:cstheme="majorHAnsi"/>
          <w:lang w:val="es-CO"/>
        </w:rPr>
        <w:fldChar w:fldCharType="separate"/>
      </w:r>
      <w:r w:rsidR="008922C7" w:rsidRPr="008922C7">
        <w:rPr>
          <w:rFonts w:cs="Calibri"/>
          <w:lang w:val="es-CO"/>
        </w:rPr>
        <w:t>(Gobierno de Colombia, 2020)</w:t>
      </w:r>
      <w:r w:rsidR="008922C7">
        <w:rPr>
          <w:rFonts w:asciiTheme="majorHAnsi" w:hAnsiTheme="majorHAnsi" w:cstheme="majorHAnsi"/>
          <w:lang w:val="es-CO"/>
        </w:rPr>
        <w:fldChar w:fldCharType="end"/>
      </w:r>
      <w:r>
        <w:rPr>
          <w:rFonts w:asciiTheme="majorHAnsi" w:hAnsiTheme="majorHAnsi" w:cstheme="majorHAnsi"/>
          <w:lang w:val="es-CO"/>
        </w:rPr>
        <w:t>.</w:t>
      </w:r>
    </w:p>
    <w:p w14:paraId="02151AA9" w14:textId="37B17C0C" w:rsidR="00513BB2" w:rsidRPr="00513BB2" w:rsidRDefault="00513BB2" w:rsidP="00513BB2">
      <w:pPr>
        <w:jc w:val="both"/>
        <w:rPr>
          <w:rFonts w:asciiTheme="majorHAnsi" w:hAnsiTheme="majorHAnsi" w:cstheme="majorHAnsi"/>
          <w:lang w:val="es-CO"/>
        </w:rPr>
      </w:pPr>
      <w:r w:rsidRPr="00513BB2">
        <w:rPr>
          <w:rFonts w:asciiTheme="majorHAnsi" w:hAnsiTheme="majorHAnsi" w:cstheme="majorHAnsi"/>
          <w:lang w:val="es-CO"/>
        </w:rPr>
        <w:t xml:space="preserve">Por su parte, la Misión de Bioeconomía y Territorio, lanzada en 2023, llevó a cabo un análisis detallado para identificar acciones clave que fortalezcan el desarrollo de la bioeconomía con un enfoque territorial. Entre estas acciones destacan: 1) </w:t>
      </w:r>
      <w:r w:rsidRPr="008C0D76">
        <w:rPr>
          <w:rFonts w:asciiTheme="majorHAnsi" w:hAnsiTheme="majorHAnsi" w:cstheme="majorHAnsi"/>
          <w:i/>
          <w:lang w:val="es-CO"/>
        </w:rPr>
        <w:t>la creación de una batería de indicadores a nivel económico, social y ambiental, que se articule con la política pública y garantice el seguimiento y monitoreo de la bioeconomía</w:t>
      </w:r>
      <w:r w:rsidRPr="00513BB2">
        <w:rPr>
          <w:rFonts w:asciiTheme="majorHAnsi" w:hAnsiTheme="majorHAnsi" w:cstheme="majorHAnsi"/>
          <w:lang w:val="es-CO"/>
        </w:rPr>
        <w:t xml:space="preserve">; y 2) </w:t>
      </w:r>
      <w:r w:rsidRPr="008C0D76">
        <w:rPr>
          <w:rFonts w:asciiTheme="majorHAnsi" w:hAnsiTheme="majorHAnsi" w:cstheme="majorHAnsi"/>
          <w:i/>
          <w:lang w:val="es-CO"/>
        </w:rPr>
        <w:t>el establecimiento de estrategias que permitan asegurar la trazabilidad de los productos, verificando si cumplen con los estándares y criterios de sostenibilidad</w:t>
      </w:r>
      <w:r w:rsidR="008922C7">
        <w:rPr>
          <w:rFonts w:asciiTheme="majorHAnsi" w:hAnsiTheme="majorHAnsi" w:cstheme="majorHAnsi"/>
          <w:i/>
          <w:lang w:val="es-CO"/>
        </w:rPr>
        <w:t xml:space="preserve"> </w:t>
      </w:r>
      <w:r w:rsidR="008922C7">
        <w:rPr>
          <w:rFonts w:asciiTheme="majorHAnsi" w:hAnsiTheme="majorHAnsi" w:cstheme="majorHAnsi"/>
          <w:lang w:val="es-CO"/>
        </w:rPr>
        <w:fldChar w:fldCharType="begin"/>
      </w:r>
      <w:r w:rsidR="00DC48FD">
        <w:rPr>
          <w:rFonts w:asciiTheme="majorHAnsi" w:hAnsiTheme="majorHAnsi" w:cstheme="majorHAnsi"/>
          <w:lang w:val="es-CO"/>
        </w:rPr>
        <w:instrText xml:space="preserve"> ADDIN ZOTERO_ITEM CSL_CITATION {"citationID":"X6jkzGpj","properties":{"formattedCitation":"(Ministerio de Ciencias, Tecnolog\\uc0\\u237{}a e Innovaci\\uc0\\u243{}n, 2023)","plainCitation":"(Ministerio de Ciencias, Tecnología e Innovación, 2023)","noteIndex":0},"citationItems":[{"id":648,"uris":["http://zotero.org/groups/4891793/items/VGPWJS9E"],"itemData":{"id":648,"type":"document","title":"Misión de Bioeconomía y Territorio","URL":"chrome-extension://efaidnbmnnnibpcajpcglclefindmkaj/https://minciencias.gov.co/sites/default/files/upload/noticias/1._documento_de_politica_bioeconomia_y_territorio.pdf","author":[{"family":"Ministerio de Ciencias, Tecnología e Innovación","given":""}],"issued":{"date-parts":[["2023"]]}}}],"schema":"https://github.com/citation-style-language/schema/raw/master/csl-citation.json"} </w:instrText>
      </w:r>
      <w:r w:rsidR="008922C7">
        <w:rPr>
          <w:rFonts w:asciiTheme="majorHAnsi" w:hAnsiTheme="majorHAnsi" w:cstheme="majorHAnsi"/>
          <w:lang w:val="es-CO"/>
        </w:rPr>
        <w:fldChar w:fldCharType="separate"/>
      </w:r>
      <w:r w:rsidR="008922C7" w:rsidRPr="005C0560">
        <w:rPr>
          <w:rFonts w:cs="Calibri"/>
          <w:lang w:val="es-CO"/>
        </w:rPr>
        <w:t>(Ministerio de Ciencias, Tecnología e Innovación, 2023)</w:t>
      </w:r>
      <w:r w:rsidR="008922C7">
        <w:rPr>
          <w:rFonts w:asciiTheme="majorHAnsi" w:hAnsiTheme="majorHAnsi" w:cstheme="majorHAnsi"/>
          <w:lang w:val="es-CO"/>
        </w:rPr>
        <w:fldChar w:fldCharType="end"/>
      </w:r>
      <w:r w:rsidRPr="00513BB2">
        <w:rPr>
          <w:rFonts w:asciiTheme="majorHAnsi" w:hAnsiTheme="majorHAnsi" w:cstheme="majorHAnsi"/>
          <w:lang w:val="es-CO"/>
        </w:rPr>
        <w:t>. En este contexto, los indicadores propuestos en este informe permiten realizar un seguimiento continuo a la im</w:t>
      </w:r>
      <w:r>
        <w:rPr>
          <w:rFonts w:asciiTheme="majorHAnsi" w:hAnsiTheme="majorHAnsi" w:cstheme="majorHAnsi"/>
          <w:lang w:val="es-CO"/>
        </w:rPr>
        <w:t>plementación de la bioeconomía.</w:t>
      </w:r>
    </w:p>
    <w:p w14:paraId="7EAC7160" w14:textId="65C7EFA6" w:rsidR="00513BB2" w:rsidRPr="00513BB2" w:rsidRDefault="00513BB2" w:rsidP="00513BB2">
      <w:pPr>
        <w:jc w:val="both"/>
        <w:rPr>
          <w:rFonts w:asciiTheme="majorHAnsi" w:hAnsiTheme="majorHAnsi" w:cstheme="majorHAnsi"/>
          <w:lang w:val="es-CO"/>
        </w:rPr>
      </w:pPr>
      <w:r w:rsidRPr="00513BB2">
        <w:rPr>
          <w:rFonts w:asciiTheme="majorHAnsi" w:hAnsiTheme="majorHAnsi" w:cstheme="majorHAnsi"/>
          <w:lang w:val="es-CO"/>
        </w:rPr>
        <w:t>En relación con los estándares y criterios de sostenibilidad, la FAO ha recopilado y organizado una lista de principios orientados a promover una bioeconomía sostenible, asociando indicadores que midan su impacto tanto a nivel de cadena como de producto, abarcando aspectos económicos, sociales y ambientales</w:t>
      </w:r>
      <w:r w:rsidR="007A6D6B">
        <w:rPr>
          <w:rFonts w:asciiTheme="majorHAnsi" w:hAnsiTheme="majorHAnsi" w:cstheme="majorHAnsi"/>
          <w:lang w:val="es-CO"/>
        </w:rPr>
        <w:t xml:space="preserve"> </w:t>
      </w:r>
      <w:r w:rsidR="007A6D6B">
        <w:rPr>
          <w:rFonts w:asciiTheme="majorHAnsi" w:hAnsiTheme="majorHAnsi" w:cstheme="majorHAnsi"/>
          <w:lang w:val="es-CO"/>
        </w:rPr>
        <w:fldChar w:fldCharType="begin"/>
      </w:r>
      <w:r w:rsidR="00067098">
        <w:rPr>
          <w:rFonts w:asciiTheme="majorHAnsi" w:hAnsiTheme="majorHAnsi" w:cstheme="majorHAnsi"/>
          <w:lang w:val="es-CO"/>
        </w:rPr>
        <w:instrText xml:space="preserve"> ADDIN ZOTERO_ITEM CSL_CITATION {"citationID":"Y6tJfaPd","properties":{"formattedCitation":"(Bracco et\\uc0\\u160{}al., 2019)","plainCitation":"(Bracco et al., 2019)","noteIndex":0},"citationItems":[{"id":1873,"uris":["http://zotero.org/groups/4898838/items/GQD9E83Z"],"itemData":{"id":1873,"type":"document","note":"FOOD AND AGRICULTURE ORGANIZATION OF THE UNITED NATIONS. Rome.","title":"Indicators to monitor and evaluate the sustainability of bioeconomy. Overview and a proposed way forward.","author":[{"family":"Bracco","given":"Stefania"},{"family":"Tani","given":"Almona"},{"family":"Çalıcıoğlu","given":"Özgül"},{"family":"Gómez San Juan","given":"Marta"},{"family":"Bogdanski","given":"Anne"}],"issued":{"date-parts":[["2019"]]}}}],"schema":"https://github.com/citation-style-language/schema/raw/master/csl-citation.json"} </w:instrText>
      </w:r>
      <w:r w:rsidR="007A6D6B">
        <w:rPr>
          <w:rFonts w:asciiTheme="majorHAnsi" w:hAnsiTheme="majorHAnsi" w:cstheme="majorHAnsi"/>
          <w:lang w:val="es-CO"/>
        </w:rPr>
        <w:fldChar w:fldCharType="separate"/>
      </w:r>
      <w:r w:rsidR="007A6D6B" w:rsidRPr="007A6D6B">
        <w:rPr>
          <w:rFonts w:cs="Calibri"/>
          <w:lang w:val="es-CO"/>
        </w:rPr>
        <w:t>(Bracco et al., 2019)</w:t>
      </w:r>
      <w:r w:rsidR="007A6D6B">
        <w:rPr>
          <w:rFonts w:asciiTheme="majorHAnsi" w:hAnsiTheme="majorHAnsi" w:cstheme="majorHAnsi"/>
          <w:lang w:val="es-CO"/>
        </w:rPr>
        <w:fldChar w:fldCharType="end"/>
      </w:r>
      <w:r w:rsidRPr="00513BB2">
        <w:rPr>
          <w:rFonts w:asciiTheme="majorHAnsi" w:hAnsiTheme="majorHAnsi" w:cstheme="majorHAnsi"/>
          <w:lang w:val="es-CO"/>
        </w:rPr>
        <w:t>. Este informe se enfoca en los indicadores económicos recomendados para evaluar dichos principios.</w:t>
      </w:r>
    </w:p>
    <w:p w14:paraId="38295DB7" w14:textId="148A4246" w:rsidR="000B0012" w:rsidRPr="00E46D8C" w:rsidRDefault="00D469CC" w:rsidP="00955648">
      <w:pPr>
        <w:pStyle w:val="Ttulo1"/>
        <w:numPr>
          <w:ilvl w:val="0"/>
          <w:numId w:val="3"/>
        </w:numPr>
        <w:jc w:val="both"/>
        <w:rPr>
          <w:rFonts w:asciiTheme="majorHAnsi" w:hAnsiTheme="majorHAnsi" w:cstheme="majorBidi"/>
          <w:lang w:val="es-CO"/>
        </w:rPr>
      </w:pPr>
      <w:bookmarkStart w:id="5" w:name="_Toc217565992"/>
      <w:r>
        <w:rPr>
          <w:rFonts w:asciiTheme="majorHAnsi" w:hAnsiTheme="majorHAnsi" w:cstheme="majorBidi"/>
          <w:lang w:val="es-CO"/>
        </w:rPr>
        <w:lastRenderedPageBreak/>
        <w:t>Instrumento</w:t>
      </w:r>
      <w:bookmarkEnd w:id="5"/>
    </w:p>
    <w:p w14:paraId="25DAF8B0" w14:textId="20671FC8" w:rsidR="00F16716" w:rsidRPr="00F16716" w:rsidRDefault="00F16716" w:rsidP="00F16716">
      <w:pPr>
        <w:jc w:val="both"/>
        <w:rPr>
          <w:rFonts w:asciiTheme="majorHAnsi" w:hAnsiTheme="majorHAnsi" w:cstheme="majorHAnsi"/>
          <w:lang w:val="es-CO"/>
        </w:rPr>
      </w:pPr>
      <w:r w:rsidRPr="00F16716">
        <w:rPr>
          <w:rFonts w:asciiTheme="majorHAnsi" w:hAnsiTheme="majorHAnsi" w:cstheme="majorHAnsi"/>
          <w:lang w:val="es-CO"/>
        </w:rPr>
        <w:t>En línea con el trabajo realizado por la FAO</w:t>
      </w:r>
      <w:r w:rsidR="00DC48FD">
        <w:rPr>
          <w:rFonts w:asciiTheme="majorHAnsi" w:hAnsiTheme="majorHAnsi" w:cstheme="majorHAnsi"/>
          <w:lang w:val="es-CO"/>
        </w:rPr>
        <w:t xml:space="preserve"> </w:t>
      </w:r>
      <w:r w:rsidR="00DC48FD">
        <w:rPr>
          <w:rFonts w:asciiTheme="majorHAnsi" w:hAnsiTheme="majorHAnsi" w:cstheme="majorHAnsi"/>
          <w:lang w:val="es-CO"/>
        </w:rPr>
        <w:fldChar w:fldCharType="begin"/>
      </w:r>
      <w:r w:rsidR="00067098">
        <w:rPr>
          <w:rFonts w:asciiTheme="majorHAnsi" w:hAnsiTheme="majorHAnsi" w:cstheme="majorHAnsi"/>
          <w:lang w:val="es-CO"/>
        </w:rPr>
        <w:instrText xml:space="preserve"> ADDIN ZOTERO_ITEM CSL_CITATION {"citationID":"qDUTecok","properties":{"formattedCitation":"(Bracco et\\uc0\\u160{}al., 2019)","plainCitation":"(Bracco et al., 2019)","noteIndex":0},"citationItems":[{"id":1873,"uris":["http://zotero.org/groups/4898838/items/GQD9E83Z"],"itemData":{"id":1873,"type":"document","note":"FOOD AND AGRICULTURE ORGANIZATION OF THE UNITED NATIONS. Rome.","title":"Indicators to monitor and evaluate the sustainability of bioeconomy. Overview and a proposed way forward.","author":[{"family":"Bracco","given":"Stefania"},{"family":"Tani","given":"Almona"},{"family":"Çalıcıoğlu","given":"Özgül"},{"family":"Gómez San Juan","given":"Marta"},{"family":"Bogdanski","given":"Anne"}],"issued":{"date-parts":[["2019"]]}}}],"schema":"https://github.com/citation-style-language/schema/raw/master/csl-citation.json"} </w:instrText>
      </w:r>
      <w:r w:rsidR="00DC48FD">
        <w:rPr>
          <w:rFonts w:asciiTheme="majorHAnsi" w:hAnsiTheme="majorHAnsi" w:cstheme="majorHAnsi"/>
          <w:lang w:val="es-CO"/>
        </w:rPr>
        <w:fldChar w:fldCharType="separate"/>
      </w:r>
      <w:r w:rsidR="00DC48FD" w:rsidRPr="007A6D6B">
        <w:rPr>
          <w:rFonts w:cs="Calibri"/>
          <w:lang w:val="es-CO"/>
        </w:rPr>
        <w:t>(Bracco et al., 2019)</w:t>
      </w:r>
      <w:r w:rsidR="00DC48FD">
        <w:rPr>
          <w:rFonts w:asciiTheme="majorHAnsi" w:hAnsiTheme="majorHAnsi" w:cstheme="majorHAnsi"/>
          <w:lang w:val="es-CO"/>
        </w:rPr>
        <w:fldChar w:fldCharType="end"/>
      </w:r>
      <w:r w:rsidRPr="00F16716">
        <w:rPr>
          <w:rFonts w:asciiTheme="majorHAnsi" w:hAnsiTheme="majorHAnsi" w:cstheme="majorHAnsi"/>
          <w:lang w:val="es-CO"/>
        </w:rPr>
        <w:t>, se utilizan dos grupos de indicadores para evaluar el cambio económico: 1) los relacionados con in</w:t>
      </w:r>
      <w:r w:rsidR="008C0D76">
        <w:rPr>
          <w:rFonts w:asciiTheme="majorHAnsi" w:hAnsiTheme="majorHAnsi" w:cstheme="majorHAnsi"/>
          <w:lang w:val="es-CO"/>
        </w:rPr>
        <w:t xml:space="preserve">gresos, </w:t>
      </w:r>
      <w:r w:rsidRPr="00F16716">
        <w:rPr>
          <w:rFonts w:asciiTheme="majorHAnsi" w:hAnsiTheme="majorHAnsi" w:cstheme="majorHAnsi"/>
          <w:lang w:val="es-CO"/>
        </w:rPr>
        <w:t>costos</w:t>
      </w:r>
      <w:r w:rsidR="008C0D76">
        <w:rPr>
          <w:rFonts w:asciiTheme="majorHAnsi" w:hAnsiTheme="majorHAnsi" w:cstheme="majorHAnsi"/>
          <w:lang w:val="es-CO"/>
        </w:rPr>
        <w:t xml:space="preserve"> y productividad</w:t>
      </w:r>
      <w:r w:rsidRPr="00F16716">
        <w:rPr>
          <w:rFonts w:asciiTheme="majorHAnsi" w:hAnsiTheme="majorHAnsi" w:cstheme="majorHAnsi"/>
          <w:lang w:val="es-CO"/>
        </w:rPr>
        <w:t>, y 2) los vin</w:t>
      </w:r>
      <w:r>
        <w:rPr>
          <w:rFonts w:asciiTheme="majorHAnsi" w:hAnsiTheme="majorHAnsi" w:cstheme="majorHAnsi"/>
          <w:lang w:val="es-CO"/>
        </w:rPr>
        <w:t>culados con el empleo generado.</w:t>
      </w:r>
    </w:p>
    <w:p w14:paraId="34C57263" w14:textId="560482F8" w:rsidR="00F16716" w:rsidRPr="00F16716" w:rsidRDefault="00F16716" w:rsidP="00F16716">
      <w:pPr>
        <w:jc w:val="both"/>
        <w:rPr>
          <w:rFonts w:asciiTheme="majorHAnsi" w:hAnsiTheme="majorHAnsi" w:cstheme="majorHAnsi"/>
          <w:lang w:val="es-CO"/>
        </w:rPr>
      </w:pPr>
      <w:r w:rsidRPr="00F16716">
        <w:rPr>
          <w:rFonts w:asciiTheme="majorHAnsi" w:hAnsiTheme="majorHAnsi" w:cstheme="majorHAnsi"/>
          <w:lang w:val="es-CO"/>
        </w:rPr>
        <w:t>El primer grupo de indicadores incluye variables como ingresos, costos y productividad. Estos indicadores se aplican a los actores de la cadena de valor de la yuca, especialmente a los productores y transformadores. Los ingresos se miden a partir de las cantidades vendidas de producto por el precio de venta. La productividad, en el caso de la producción, se refiere a la cantidad de toneladas de raíces de yuca cosechadas por hectárea; y en el caso de la transformación, a la tasa de conversión de raíces de yuca en almidón. Los costos, por su parte, están asociados a las diferentes etapas de la siembra y cosecha del cultivo, así como a la transformación de las raíces de yuca en almidón. En la fase de siembra y cosecha, los costos desagregados provienen directamente del Ministerio de Agricultura. Para la transformación, se toman los costos representativos de una planta de almidón, como las principales operadoras en Col</w:t>
      </w:r>
      <w:r>
        <w:rPr>
          <w:rFonts w:asciiTheme="majorHAnsi" w:hAnsiTheme="majorHAnsi" w:cstheme="majorHAnsi"/>
          <w:lang w:val="es-CO"/>
        </w:rPr>
        <w:t>ombia: ADS, Ingredion y Poltec.</w:t>
      </w:r>
    </w:p>
    <w:p w14:paraId="535EDA41" w14:textId="4D89133E" w:rsidR="00F16716" w:rsidRPr="00F16716" w:rsidRDefault="00F16716" w:rsidP="00F16716">
      <w:pPr>
        <w:jc w:val="both"/>
        <w:rPr>
          <w:rFonts w:asciiTheme="majorHAnsi" w:hAnsiTheme="majorHAnsi" w:cstheme="majorHAnsi"/>
          <w:lang w:val="es-CO"/>
        </w:rPr>
      </w:pPr>
      <w:r w:rsidRPr="00F16716">
        <w:rPr>
          <w:rFonts w:asciiTheme="majorHAnsi" w:hAnsiTheme="majorHAnsi" w:cstheme="majorHAnsi"/>
          <w:lang w:val="es-CO"/>
        </w:rPr>
        <w:t>El segundo grupo de indicadores se centra en la generación de empleo, tanto directo como indirecto. El empleo directo se refiere a aquellas personas contratadas para actividades específicas de producción o transformación, como la mano de obra empleada en la cosecha. En cambio, el empleo indirecto involucra a aquellos que, aunque no están directamente relacionados con la producción o transformación, se benefician de las actividades, como los trabajadores encargados del transporte de la yuca haci</w:t>
      </w:r>
      <w:r>
        <w:rPr>
          <w:rFonts w:asciiTheme="majorHAnsi" w:hAnsiTheme="majorHAnsi" w:cstheme="majorHAnsi"/>
          <w:lang w:val="es-CO"/>
        </w:rPr>
        <w:t>a los puntos de transformación.</w:t>
      </w:r>
    </w:p>
    <w:p w14:paraId="1FCC9B4F" w14:textId="7B64291E" w:rsidR="00170E9E" w:rsidRDefault="00F16716" w:rsidP="00955648">
      <w:pPr>
        <w:jc w:val="both"/>
        <w:rPr>
          <w:rFonts w:asciiTheme="majorHAnsi" w:hAnsiTheme="majorHAnsi" w:cstheme="majorHAnsi"/>
          <w:lang w:val="es-CO"/>
        </w:rPr>
      </w:pPr>
      <w:r w:rsidRPr="00F16716">
        <w:rPr>
          <w:rFonts w:asciiTheme="majorHAnsi" w:hAnsiTheme="majorHAnsi" w:cstheme="majorHAnsi"/>
          <w:lang w:val="es-CO"/>
        </w:rPr>
        <w:t>Con base en la información secundaria y en los indicadores económicos fundamentales para analizar el comportamiento de este sector, a continuación se presenta el instrumento utilizado para medir dichos indicadores.</w:t>
      </w:r>
    </w:p>
    <w:p w14:paraId="4446045A" w14:textId="0F278ACE" w:rsidR="00825E66" w:rsidRPr="006E3AE2" w:rsidRDefault="006E3AE2" w:rsidP="006E3AE2">
      <w:pPr>
        <w:jc w:val="both"/>
        <w:rPr>
          <w:rFonts w:asciiTheme="majorHAnsi" w:hAnsiTheme="majorHAnsi" w:cstheme="majorHAnsi"/>
          <w:lang w:val="es-CO"/>
        </w:rPr>
      </w:pPr>
      <w:bookmarkStart w:id="6" w:name="_Toc217565996"/>
      <w:r w:rsidRPr="006E3AE2">
        <w:rPr>
          <w:rFonts w:asciiTheme="majorHAnsi" w:hAnsiTheme="majorHAnsi" w:cstheme="majorHAnsi"/>
          <w:lang w:val="es-CO"/>
        </w:rPr>
        <w:t xml:space="preserve">Tabla </w:t>
      </w:r>
      <w:r w:rsidRPr="006E3AE2">
        <w:rPr>
          <w:rFonts w:asciiTheme="majorHAnsi" w:hAnsiTheme="majorHAnsi" w:cstheme="majorHAnsi"/>
          <w:lang w:val="es-CO"/>
        </w:rPr>
        <w:fldChar w:fldCharType="begin"/>
      </w:r>
      <w:r w:rsidRPr="006E3AE2">
        <w:rPr>
          <w:rFonts w:asciiTheme="majorHAnsi" w:hAnsiTheme="majorHAnsi" w:cstheme="majorHAnsi"/>
          <w:lang w:val="es-CO"/>
        </w:rPr>
        <w:instrText xml:space="preserve"> SEQ Tabla \* ARABIC </w:instrText>
      </w:r>
      <w:r w:rsidRPr="006E3AE2">
        <w:rPr>
          <w:rFonts w:asciiTheme="majorHAnsi" w:hAnsiTheme="majorHAnsi" w:cstheme="majorHAnsi"/>
          <w:lang w:val="es-CO"/>
        </w:rPr>
        <w:fldChar w:fldCharType="separate"/>
      </w:r>
      <w:r w:rsidRPr="006E3AE2">
        <w:rPr>
          <w:rFonts w:asciiTheme="majorHAnsi" w:hAnsiTheme="majorHAnsi" w:cstheme="majorHAnsi"/>
          <w:lang w:val="es-CO"/>
        </w:rPr>
        <w:t>1</w:t>
      </w:r>
      <w:r w:rsidRPr="006E3AE2">
        <w:rPr>
          <w:rFonts w:asciiTheme="majorHAnsi" w:hAnsiTheme="majorHAnsi" w:cstheme="majorHAnsi"/>
          <w:lang w:val="es-CO"/>
        </w:rPr>
        <w:fldChar w:fldCharType="end"/>
      </w:r>
      <w:r w:rsidRPr="006E3AE2">
        <w:rPr>
          <w:rFonts w:asciiTheme="majorHAnsi" w:hAnsiTheme="majorHAnsi" w:cstheme="majorHAnsi"/>
          <w:lang w:val="es-CO"/>
        </w:rPr>
        <w:t xml:space="preserve">. </w:t>
      </w:r>
      <w:r w:rsidR="00A01A93">
        <w:rPr>
          <w:rFonts w:asciiTheme="majorHAnsi" w:hAnsiTheme="majorHAnsi" w:cstheme="majorHAnsi"/>
          <w:lang w:val="es-CO"/>
        </w:rPr>
        <w:t>Cuestionario sobre d</w:t>
      </w:r>
      <w:r>
        <w:rPr>
          <w:rFonts w:asciiTheme="majorHAnsi" w:hAnsiTheme="majorHAnsi" w:cstheme="majorHAnsi"/>
          <w:lang w:val="es-CO"/>
        </w:rPr>
        <w:t>atos iniciales</w:t>
      </w:r>
      <w:bookmarkEnd w:id="6"/>
      <w:r>
        <w:rPr>
          <w:rFonts w:asciiTheme="majorHAnsi" w:hAnsiTheme="majorHAnsi" w:cstheme="majorHAnsi"/>
          <w:lang w:val="es-CO"/>
        </w:rPr>
        <w:t xml:space="preserve"> </w:t>
      </w:r>
    </w:p>
    <w:tbl>
      <w:tblPr>
        <w:tblW w:w="8866" w:type="dxa"/>
        <w:jc w:val="center"/>
        <w:tblCellMar>
          <w:left w:w="70" w:type="dxa"/>
          <w:right w:w="70" w:type="dxa"/>
        </w:tblCellMar>
        <w:tblLook w:val="04A0" w:firstRow="1" w:lastRow="0" w:firstColumn="1" w:lastColumn="0" w:noHBand="0" w:noVBand="1"/>
      </w:tblPr>
      <w:tblGrid>
        <w:gridCol w:w="362"/>
        <w:gridCol w:w="4138"/>
        <w:gridCol w:w="4366"/>
      </w:tblGrid>
      <w:tr w:rsidR="00F16716" w:rsidRPr="00825E66" w14:paraId="7A3E9375" w14:textId="3D76A89A" w:rsidTr="00F16716">
        <w:trPr>
          <w:trHeight w:val="315"/>
          <w:jc w:val="center"/>
        </w:trPr>
        <w:tc>
          <w:tcPr>
            <w:tcW w:w="4500" w:type="dxa"/>
            <w:gridSpan w:val="2"/>
            <w:tcBorders>
              <w:top w:val="single" w:sz="8" w:space="0" w:color="auto"/>
              <w:left w:val="single" w:sz="8" w:space="0" w:color="auto"/>
              <w:bottom w:val="single" w:sz="8" w:space="0" w:color="auto"/>
              <w:right w:val="single" w:sz="8" w:space="0" w:color="000000"/>
            </w:tcBorders>
            <w:noWrap/>
            <w:vAlign w:val="bottom"/>
            <w:hideMark/>
          </w:tcPr>
          <w:p w14:paraId="1C3361E0" w14:textId="2A9A3AF1" w:rsidR="00F16716" w:rsidRPr="00F16716" w:rsidRDefault="00F16716" w:rsidP="00F16716">
            <w:pPr>
              <w:spacing w:after="0" w:line="240" w:lineRule="auto"/>
              <w:ind w:right="0"/>
              <w:jc w:val="center"/>
              <w:rPr>
                <w:rFonts w:eastAsia="Times New Roman" w:cs="Calibri"/>
                <w:b/>
                <w:bCs/>
                <w:szCs w:val="22"/>
                <w:lang w:val="es-CO" w:eastAsia="es-CO"/>
              </w:rPr>
            </w:pPr>
            <w:r w:rsidRPr="00F16716">
              <w:rPr>
                <w:rFonts w:eastAsia="Times New Roman" w:cs="Calibri"/>
                <w:b/>
                <w:bCs/>
                <w:szCs w:val="22"/>
                <w:lang w:val="es-CO" w:eastAsia="es-CO"/>
              </w:rPr>
              <w:t>Producción</w:t>
            </w:r>
          </w:p>
        </w:tc>
        <w:tc>
          <w:tcPr>
            <w:tcW w:w="4366" w:type="dxa"/>
            <w:tcBorders>
              <w:top w:val="single" w:sz="8" w:space="0" w:color="auto"/>
              <w:left w:val="single" w:sz="8" w:space="0" w:color="auto"/>
              <w:bottom w:val="single" w:sz="8" w:space="0" w:color="auto"/>
              <w:right w:val="single" w:sz="8" w:space="0" w:color="000000"/>
            </w:tcBorders>
          </w:tcPr>
          <w:p w14:paraId="0C2EE381" w14:textId="5365766F" w:rsidR="00F16716" w:rsidRPr="00F16716" w:rsidRDefault="00F16716" w:rsidP="00F16716">
            <w:pPr>
              <w:spacing w:after="0" w:line="240" w:lineRule="auto"/>
              <w:ind w:right="0"/>
              <w:jc w:val="center"/>
              <w:rPr>
                <w:rFonts w:eastAsia="Times New Roman" w:cs="Calibri"/>
                <w:b/>
                <w:bCs/>
                <w:szCs w:val="22"/>
                <w:lang w:val="es-CO" w:eastAsia="es-CO"/>
              </w:rPr>
            </w:pPr>
            <w:r w:rsidRPr="00F16716">
              <w:rPr>
                <w:rFonts w:eastAsia="Times New Roman" w:cs="Calibri"/>
                <w:b/>
                <w:bCs/>
                <w:szCs w:val="22"/>
                <w:lang w:val="es-CO" w:eastAsia="es-CO"/>
              </w:rPr>
              <w:t>Transformación</w:t>
            </w:r>
          </w:p>
        </w:tc>
      </w:tr>
      <w:tr w:rsidR="00F16716" w:rsidRPr="00F77147" w14:paraId="165E1234" w14:textId="7DDA913E" w:rsidTr="00F16716">
        <w:trPr>
          <w:trHeight w:val="300"/>
          <w:jc w:val="center"/>
        </w:trPr>
        <w:tc>
          <w:tcPr>
            <w:tcW w:w="362" w:type="dxa"/>
            <w:tcBorders>
              <w:top w:val="single" w:sz="4" w:space="0" w:color="auto"/>
              <w:left w:val="single" w:sz="4" w:space="0" w:color="auto"/>
              <w:bottom w:val="single" w:sz="4" w:space="0" w:color="auto"/>
              <w:right w:val="single" w:sz="4" w:space="0" w:color="auto"/>
            </w:tcBorders>
            <w:noWrap/>
            <w:vAlign w:val="bottom"/>
          </w:tcPr>
          <w:p w14:paraId="2FC72548" w14:textId="7E6577A5"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1</w:t>
            </w:r>
          </w:p>
        </w:tc>
        <w:tc>
          <w:tcPr>
            <w:tcW w:w="4138" w:type="dxa"/>
            <w:tcBorders>
              <w:top w:val="single" w:sz="4" w:space="0" w:color="auto"/>
              <w:left w:val="nil"/>
              <w:bottom w:val="single" w:sz="4" w:space="0" w:color="auto"/>
              <w:right w:val="single" w:sz="4" w:space="0" w:color="auto"/>
            </w:tcBorders>
            <w:noWrap/>
            <w:vAlign w:val="bottom"/>
            <w:hideMark/>
          </w:tcPr>
          <w:p w14:paraId="05EDFF0C" w14:textId="73A53FE3"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Hectáreas sembradas</w:t>
            </w:r>
          </w:p>
        </w:tc>
        <w:tc>
          <w:tcPr>
            <w:tcW w:w="4366" w:type="dxa"/>
            <w:tcBorders>
              <w:top w:val="single" w:sz="4" w:space="0" w:color="auto"/>
              <w:left w:val="nil"/>
              <w:bottom w:val="single" w:sz="4" w:space="0" w:color="auto"/>
              <w:right w:val="single" w:sz="4" w:space="0" w:color="auto"/>
            </w:tcBorders>
          </w:tcPr>
          <w:p w14:paraId="4502FF5E" w14:textId="4DE8C673" w:rsidR="00F16716" w:rsidRPr="00825E66" w:rsidRDefault="00F16716" w:rsidP="00F16716">
            <w:pPr>
              <w:spacing w:after="0" w:line="240" w:lineRule="auto"/>
              <w:ind w:right="0"/>
              <w:rPr>
                <w:rFonts w:eastAsia="Times New Roman" w:cs="Calibri"/>
                <w:b/>
                <w:bCs/>
                <w:szCs w:val="22"/>
                <w:lang w:val="es-CO" w:eastAsia="es-CO"/>
              </w:rPr>
            </w:pPr>
            <w:r>
              <w:rPr>
                <w:rFonts w:eastAsia="Times New Roman" w:cs="Calibri"/>
                <w:b/>
                <w:bCs/>
                <w:szCs w:val="22"/>
                <w:lang w:val="es-CO" w:eastAsia="es-CO"/>
              </w:rPr>
              <w:t>Toneladas de yuca transformadas por día</w:t>
            </w:r>
          </w:p>
        </w:tc>
      </w:tr>
      <w:tr w:rsidR="00F16716" w:rsidRPr="00825E66" w14:paraId="336F8CC4" w14:textId="1F0B9F21" w:rsidTr="00F16716">
        <w:trPr>
          <w:trHeight w:val="289"/>
          <w:jc w:val="center"/>
        </w:trPr>
        <w:tc>
          <w:tcPr>
            <w:tcW w:w="362" w:type="dxa"/>
            <w:tcBorders>
              <w:top w:val="nil"/>
              <w:left w:val="single" w:sz="4" w:space="0" w:color="auto"/>
              <w:bottom w:val="single" w:sz="4" w:space="0" w:color="auto"/>
              <w:right w:val="single" w:sz="4" w:space="0" w:color="auto"/>
            </w:tcBorders>
            <w:noWrap/>
            <w:vAlign w:val="bottom"/>
          </w:tcPr>
          <w:p w14:paraId="31ED1A20" w14:textId="15ABFF30"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2</w:t>
            </w:r>
          </w:p>
        </w:tc>
        <w:tc>
          <w:tcPr>
            <w:tcW w:w="4138" w:type="dxa"/>
            <w:tcBorders>
              <w:top w:val="nil"/>
              <w:left w:val="nil"/>
              <w:bottom w:val="single" w:sz="4" w:space="0" w:color="auto"/>
              <w:right w:val="single" w:sz="4" w:space="0" w:color="auto"/>
            </w:tcBorders>
            <w:noWrap/>
            <w:vAlign w:val="bottom"/>
            <w:hideMark/>
          </w:tcPr>
          <w:p w14:paraId="7010112B" w14:textId="4433CFEF"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Época de siembra</w:t>
            </w:r>
          </w:p>
        </w:tc>
        <w:tc>
          <w:tcPr>
            <w:tcW w:w="4366" w:type="dxa"/>
            <w:tcBorders>
              <w:top w:val="nil"/>
              <w:left w:val="nil"/>
              <w:bottom w:val="single" w:sz="4" w:space="0" w:color="auto"/>
              <w:right w:val="single" w:sz="4" w:space="0" w:color="auto"/>
            </w:tcBorders>
          </w:tcPr>
          <w:p w14:paraId="1BE470A2" w14:textId="2A194D7B"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Días efectivos de procesamiento</w:t>
            </w:r>
          </w:p>
        </w:tc>
      </w:tr>
      <w:tr w:rsidR="00F16716" w:rsidRPr="00825E66" w14:paraId="190E80A3" w14:textId="25C1C0CF" w:rsidTr="00F16716">
        <w:trPr>
          <w:trHeight w:val="289"/>
          <w:jc w:val="center"/>
        </w:trPr>
        <w:tc>
          <w:tcPr>
            <w:tcW w:w="362" w:type="dxa"/>
            <w:tcBorders>
              <w:top w:val="nil"/>
              <w:left w:val="single" w:sz="4" w:space="0" w:color="auto"/>
              <w:bottom w:val="single" w:sz="4" w:space="0" w:color="auto"/>
              <w:right w:val="single" w:sz="4" w:space="0" w:color="auto"/>
            </w:tcBorders>
            <w:noWrap/>
            <w:vAlign w:val="bottom"/>
          </w:tcPr>
          <w:p w14:paraId="597815A4" w14:textId="02698CDD"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3</w:t>
            </w:r>
          </w:p>
        </w:tc>
        <w:tc>
          <w:tcPr>
            <w:tcW w:w="4138" w:type="dxa"/>
            <w:tcBorders>
              <w:top w:val="nil"/>
              <w:left w:val="nil"/>
              <w:bottom w:val="single" w:sz="4" w:space="0" w:color="auto"/>
              <w:right w:val="single" w:sz="4" w:space="0" w:color="auto"/>
            </w:tcBorders>
            <w:noWrap/>
            <w:vAlign w:val="bottom"/>
            <w:hideMark/>
          </w:tcPr>
          <w:p w14:paraId="6EE317A1" w14:textId="7506181B"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Época de sostenimiento</w:t>
            </w:r>
          </w:p>
        </w:tc>
        <w:tc>
          <w:tcPr>
            <w:tcW w:w="4366" w:type="dxa"/>
            <w:tcBorders>
              <w:top w:val="nil"/>
              <w:left w:val="nil"/>
              <w:bottom w:val="single" w:sz="4" w:space="0" w:color="auto"/>
              <w:right w:val="single" w:sz="4" w:space="0" w:color="auto"/>
            </w:tcBorders>
          </w:tcPr>
          <w:p w14:paraId="150E8365" w14:textId="45A2E8DB"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Hectáreas cubiertas</w:t>
            </w:r>
          </w:p>
        </w:tc>
      </w:tr>
      <w:tr w:rsidR="00F16716" w:rsidRPr="00F77147" w14:paraId="2AEE0555" w14:textId="68D36406" w:rsidTr="00F16716">
        <w:trPr>
          <w:trHeight w:val="289"/>
          <w:jc w:val="center"/>
        </w:trPr>
        <w:tc>
          <w:tcPr>
            <w:tcW w:w="362" w:type="dxa"/>
            <w:tcBorders>
              <w:top w:val="nil"/>
              <w:left w:val="single" w:sz="4" w:space="0" w:color="auto"/>
              <w:bottom w:val="single" w:sz="4" w:space="0" w:color="auto"/>
              <w:right w:val="single" w:sz="4" w:space="0" w:color="auto"/>
            </w:tcBorders>
            <w:noWrap/>
            <w:vAlign w:val="bottom"/>
          </w:tcPr>
          <w:p w14:paraId="5C69BE83" w14:textId="264DA525"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4</w:t>
            </w:r>
          </w:p>
        </w:tc>
        <w:tc>
          <w:tcPr>
            <w:tcW w:w="4138" w:type="dxa"/>
            <w:tcBorders>
              <w:top w:val="nil"/>
              <w:left w:val="nil"/>
              <w:bottom w:val="single" w:sz="4" w:space="0" w:color="auto"/>
              <w:right w:val="single" w:sz="4" w:space="0" w:color="auto"/>
            </w:tcBorders>
            <w:noWrap/>
            <w:vAlign w:val="bottom"/>
            <w:hideMark/>
          </w:tcPr>
          <w:p w14:paraId="5FBE8480" w14:textId="3E70FC54"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Época de cosecha</w:t>
            </w:r>
          </w:p>
        </w:tc>
        <w:tc>
          <w:tcPr>
            <w:tcW w:w="4366" w:type="dxa"/>
            <w:tcBorders>
              <w:top w:val="nil"/>
              <w:left w:val="nil"/>
              <w:bottom w:val="single" w:sz="4" w:space="0" w:color="auto"/>
              <w:right w:val="single" w:sz="4" w:space="0" w:color="auto"/>
            </w:tcBorders>
          </w:tcPr>
          <w:p w14:paraId="10B12C13" w14:textId="4D14586A"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Gramos de almidón por kilos de yuca fresca</w:t>
            </w:r>
          </w:p>
        </w:tc>
      </w:tr>
      <w:tr w:rsidR="00F16716" w:rsidRPr="00825E66" w14:paraId="3571B9A2" w14:textId="77F48BF9" w:rsidTr="00F16716">
        <w:trPr>
          <w:trHeight w:val="300"/>
          <w:jc w:val="center"/>
        </w:trPr>
        <w:tc>
          <w:tcPr>
            <w:tcW w:w="362" w:type="dxa"/>
            <w:tcBorders>
              <w:top w:val="nil"/>
              <w:left w:val="single" w:sz="4" w:space="0" w:color="auto"/>
              <w:bottom w:val="single" w:sz="4" w:space="0" w:color="auto"/>
              <w:right w:val="single" w:sz="4" w:space="0" w:color="auto"/>
            </w:tcBorders>
            <w:noWrap/>
            <w:vAlign w:val="bottom"/>
          </w:tcPr>
          <w:p w14:paraId="084F57C3" w14:textId="0BC55264"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5</w:t>
            </w:r>
          </w:p>
        </w:tc>
        <w:tc>
          <w:tcPr>
            <w:tcW w:w="4138" w:type="dxa"/>
            <w:tcBorders>
              <w:top w:val="nil"/>
              <w:left w:val="nil"/>
              <w:bottom w:val="single" w:sz="4" w:space="0" w:color="auto"/>
              <w:right w:val="single" w:sz="4" w:space="0" w:color="auto"/>
            </w:tcBorders>
            <w:noWrap/>
            <w:vAlign w:val="bottom"/>
            <w:hideMark/>
          </w:tcPr>
          <w:p w14:paraId="66E68B0F" w14:textId="2C053FE6"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Hectáreas cosechadas</w:t>
            </w:r>
          </w:p>
        </w:tc>
        <w:tc>
          <w:tcPr>
            <w:tcW w:w="4366" w:type="dxa"/>
            <w:tcBorders>
              <w:top w:val="nil"/>
              <w:left w:val="nil"/>
              <w:bottom w:val="single" w:sz="4" w:space="0" w:color="auto"/>
              <w:right w:val="single" w:sz="4" w:space="0" w:color="auto"/>
            </w:tcBorders>
          </w:tcPr>
          <w:p w14:paraId="7BAABCB3" w14:textId="77777777" w:rsidR="00F16716" w:rsidRPr="00825E66" w:rsidRDefault="00F16716" w:rsidP="00825E66">
            <w:pPr>
              <w:spacing w:after="0" w:line="240" w:lineRule="auto"/>
              <w:ind w:right="0"/>
              <w:rPr>
                <w:rFonts w:eastAsia="Times New Roman" w:cs="Calibri"/>
                <w:b/>
                <w:bCs/>
                <w:szCs w:val="22"/>
                <w:lang w:val="es-CO" w:eastAsia="es-CO"/>
              </w:rPr>
            </w:pPr>
          </w:p>
        </w:tc>
      </w:tr>
      <w:tr w:rsidR="00F16716" w:rsidRPr="00825E66" w14:paraId="59046F46" w14:textId="601618EF" w:rsidTr="00F16716">
        <w:trPr>
          <w:trHeight w:val="289"/>
          <w:jc w:val="center"/>
        </w:trPr>
        <w:tc>
          <w:tcPr>
            <w:tcW w:w="362" w:type="dxa"/>
            <w:tcBorders>
              <w:top w:val="nil"/>
              <w:left w:val="single" w:sz="4" w:space="0" w:color="auto"/>
              <w:bottom w:val="single" w:sz="4" w:space="0" w:color="auto"/>
              <w:right w:val="single" w:sz="4" w:space="0" w:color="auto"/>
            </w:tcBorders>
            <w:noWrap/>
            <w:vAlign w:val="bottom"/>
          </w:tcPr>
          <w:p w14:paraId="66EB4701" w14:textId="2BF6778F"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6</w:t>
            </w:r>
          </w:p>
        </w:tc>
        <w:tc>
          <w:tcPr>
            <w:tcW w:w="4138" w:type="dxa"/>
            <w:tcBorders>
              <w:top w:val="nil"/>
              <w:left w:val="nil"/>
              <w:bottom w:val="single" w:sz="4" w:space="0" w:color="auto"/>
              <w:right w:val="single" w:sz="4" w:space="0" w:color="auto"/>
            </w:tcBorders>
            <w:noWrap/>
            <w:vAlign w:val="bottom"/>
            <w:hideMark/>
          </w:tcPr>
          <w:p w14:paraId="6B0FD251" w14:textId="713EC082"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Toneladas cosechadas</w:t>
            </w:r>
          </w:p>
        </w:tc>
        <w:tc>
          <w:tcPr>
            <w:tcW w:w="4366" w:type="dxa"/>
            <w:tcBorders>
              <w:top w:val="nil"/>
              <w:left w:val="nil"/>
              <w:bottom w:val="single" w:sz="4" w:space="0" w:color="auto"/>
              <w:right w:val="single" w:sz="4" w:space="0" w:color="auto"/>
            </w:tcBorders>
          </w:tcPr>
          <w:p w14:paraId="4AC7770B" w14:textId="77777777" w:rsidR="00F16716" w:rsidRPr="00825E66" w:rsidRDefault="00F16716" w:rsidP="00825E66">
            <w:pPr>
              <w:spacing w:after="0" w:line="240" w:lineRule="auto"/>
              <w:ind w:right="0"/>
              <w:rPr>
                <w:rFonts w:eastAsia="Times New Roman" w:cs="Calibri"/>
                <w:b/>
                <w:bCs/>
                <w:szCs w:val="22"/>
                <w:lang w:val="es-CO" w:eastAsia="es-CO"/>
              </w:rPr>
            </w:pPr>
          </w:p>
        </w:tc>
      </w:tr>
      <w:tr w:rsidR="00F16716" w:rsidRPr="00825E66" w14:paraId="27717619" w14:textId="612EC240" w:rsidTr="00F16716">
        <w:trPr>
          <w:trHeight w:val="289"/>
          <w:jc w:val="center"/>
        </w:trPr>
        <w:tc>
          <w:tcPr>
            <w:tcW w:w="362" w:type="dxa"/>
            <w:tcBorders>
              <w:top w:val="nil"/>
              <w:left w:val="single" w:sz="4" w:space="0" w:color="auto"/>
              <w:bottom w:val="single" w:sz="4" w:space="0" w:color="auto"/>
              <w:right w:val="single" w:sz="4" w:space="0" w:color="auto"/>
            </w:tcBorders>
            <w:noWrap/>
            <w:vAlign w:val="bottom"/>
          </w:tcPr>
          <w:p w14:paraId="1A2DC864" w14:textId="29556964" w:rsidR="00F16716" w:rsidRPr="00825E66" w:rsidRDefault="00F16716" w:rsidP="00825E66">
            <w:pPr>
              <w:spacing w:after="0" w:line="240" w:lineRule="auto"/>
              <w:ind w:right="0"/>
              <w:rPr>
                <w:rFonts w:eastAsia="Times New Roman" w:cs="Calibri"/>
                <w:b/>
                <w:bCs/>
                <w:szCs w:val="22"/>
                <w:lang w:val="es-CO" w:eastAsia="es-CO"/>
              </w:rPr>
            </w:pPr>
            <w:r>
              <w:rPr>
                <w:rFonts w:eastAsia="Times New Roman" w:cs="Calibri"/>
                <w:b/>
                <w:bCs/>
                <w:szCs w:val="22"/>
                <w:lang w:val="es-CO" w:eastAsia="es-CO"/>
              </w:rPr>
              <w:t>7</w:t>
            </w:r>
          </w:p>
        </w:tc>
        <w:tc>
          <w:tcPr>
            <w:tcW w:w="4138" w:type="dxa"/>
            <w:tcBorders>
              <w:top w:val="nil"/>
              <w:left w:val="nil"/>
              <w:bottom w:val="single" w:sz="4" w:space="0" w:color="auto"/>
              <w:right w:val="single" w:sz="4" w:space="0" w:color="auto"/>
            </w:tcBorders>
            <w:noWrap/>
            <w:vAlign w:val="bottom"/>
            <w:hideMark/>
          </w:tcPr>
          <w:p w14:paraId="696D76BF" w14:textId="44C96CF3" w:rsidR="00F16716" w:rsidRPr="00825E66" w:rsidRDefault="00F16716" w:rsidP="00825E66">
            <w:pPr>
              <w:spacing w:after="0" w:line="240" w:lineRule="auto"/>
              <w:ind w:right="0"/>
              <w:rPr>
                <w:rFonts w:eastAsia="Times New Roman" w:cs="Calibri"/>
                <w:szCs w:val="22"/>
                <w:lang w:val="es-CO" w:eastAsia="es-CO"/>
              </w:rPr>
            </w:pPr>
            <w:r w:rsidRPr="00825E66">
              <w:rPr>
                <w:rFonts w:eastAsia="Times New Roman" w:cs="Calibri"/>
                <w:b/>
                <w:bCs/>
                <w:szCs w:val="22"/>
                <w:lang w:val="es-CO" w:eastAsia="es-CO"/>
              </w:rPr>
              <w:t>Productividad</w:t>
            </w:r>
          </w:p>
        </w:tc>
        <w:tc>
          <w:tcPr>
            <w:tcW w:w="4366" w:type="dxa"/>
            <w:tcBorders>
              <w:top w:val="nil"/>
              <w:left w:val="nil"/>
              <w:bottom w:val="single" w:sz="4" w:space="0" w:color="auto"/>
              <w:right w:val="single" w:sz="4" w:space="0" w:color="auto"/>
            </w:tcBorders>
          </w:tcPr>
          <w:p w14:paraId="59DF089C" w14:textId="77777777" w:rsidR="00F16716" w:rsidRPr="00825E66" w:rsidRDefault="00F16716" w:rsidP="00825E66">
            <w:pPr>
              <w:spacing w:after="0" w:line="240" w:lineRule="auto"/>
              <w:ind w:right="0"/>
              <w:rPr>
                <w:rFonts w:eastAsia="Times New Roman" w:cs="Calibri"/>
                <w:b/>
                <w:bCs/>
                <w:szCs w:val="22"/>
                <w:lang w:val="es-CO" w:eastAsia="es-CO"/>
              </w:rPr>
            </w:pPr>
          </w:p>
        </w:tc>
      </w:tr>
    </w:tbl>
    <w:p w14:paraId="284607ED" w14:textId="26F05B18" w:rsidR="00CD722F" w:rsidRDefault="007A6D6B" w:rsidP="00955648">
      <w:pPr>
        <w:jc w:val="both"/>
        <w:rPr>
          <w:rFonts w:asciiTheme="majorHAnsi" w:hAnsiTheme="majorHAnsi" w:cstheme="majorHAnsi"/>
          <w:lang w:val="es-CO"/>
        </w:rPr>
      </w:pPr>
      <w:r>
        <w:rPr>
          <w:rFonts w:asciiTheme="majorHAnsi" w:hAnsiTheme="majorHAnsi" w:cstheme="majorHAnsi"/>
          <w:lang w:val="es-CO"/>
        </w:rPr>
        <w:t>Fuente: elaboración propia.</w:t>
      </w:r>
    </w:p>
    <w:p w14:paraId="3D001903" w14:textId="77777777" w:rsidR="000952A3" w:rsidRDefault="000952A3" w:rsidP="00955648">
      <w:pPr>
        <w:jc w:val="both"/>
        <w:rPr>
          <w:rFonts w:asciiTheme="majorHAnsi" w:hAnsiTheme="majorHAnsi" w:cstheme="majorHAnsi"/>
          <w:lang w:val="es-CO"/>
        </w:rPr>
      </w:pPr>
    </w:p>
    <w:p w14:paraId="7359F501" w14:textId="77777777" w:rsidR="00AB4AA2" w:rsidRDefault="00AB4AA2" w:rsidP="00955648">
      <w:pPr>
        <w:jc w:val="both"/>
        <w:rPr>
          <w:rFonts w:asciiTheme="majorHAnsi" w:hAnsiTheme="majorHAnsi" w:cstheme="majorHAnsi"/>
          <w:lang w:val="es-CO"/>
        </w:rPr>
      </w:pPr>
    </w:p>
    <w:p w14:paraId="44E16A40" w14:textId="6AC7CCCC" w:rsidR="00170E9E" w:rsidRPr="008C0D76" w:rsidRDefault="00A01A93" w:rsidP="00955648">
      <w:pPr>
        <w:jc w:val="both"/>
        <w:rPr>
          <w:rFonts w:asciiTheme="majorHAnsi" w:hAnsiTheme="majorHAnsi" w:cstheme="majorHAnsi"/>
          <w:lang w:val="es-CO"/>
        </w:rPr>
      </w:pPr>
      <w:bookmarkStart w:id="7" w:name="_Toc217565997"/>
      <w:r w:rsidRPr="006E3AE2">
        <w:rPr>
          <w:rFonts w:asciiTheme="majorHAnsi" w:hAnsiTheme="majorHAnsi" w:cstheme="majorHAnsi"/>
          <w:lang w:val="es-CO"/>
        </w:rPr>
        <w:lastRenderedPageBreak/>
        <w:t xml:space="preserve">Tabla </w:t>
      </w:r>
      <w:r w:rsidRPr="006E3AE2">
        <w:rPr>
          <w:rFonts w:asciiTheme="majorHAnsi" w:hAnsiTheme="majorHAnsi" w:cstheme="majorHAnsi"/>
          <w:lang w:val="es-CO"/>
        </w:rPr>
        <w:fldChar w:fldCharType="begin"/>
      </w:r>
      <w:r w:rsidRPr="006E3AE2">
        <w:rPr>
          <w:rFonts w:asciiTheme="majorHAnsi" w:hAnsiTheme="majorHAnsi" w:cstheme="majorHAnsi"/>
          <w:lang w:val="es-CO"/>
        </w:rPr>
        <w:instrText xml:space="preserve"> SEQ Tabla \* ARABIC </w:instrText>
      </w:r>
      <w:r w:rsidRPr="006E3AE2">
        <w:rPr>
          <w:rFonts w:asciiTheme="majorHAnsi" w:hAnsiTheme="majorHAnsi" w:cstheme="majorHAnsi"/>
          <w:lang w:val="es-CO"/>
        </w:rPr>
        <w:fldChar w:fldCharType="separate"/>
      </w:r>
      <w:r>
        <w:rPr>
          <w:rFonts w:asciiTheme="majorHAnsi" w:hAnsiTheme="majorHAnsi" w:cstheme="majorHAnsi"/>
          <w:noProof/>
          <w:lang w:val="es-CO"/>
        </w:rPr>
        <w:t>2</w:t>
      </w:r>
      <w:r w:rsidRPr="006E3AE2">
        <w:rPr>
          <w:rFonts w:asciiTheme="majorHAnsi" w:hAnsiTheme="majorHAnsi" w:cstheme="majorHAnsi"/>
          <w:lang w:val="es-CO"/>
        </w:rPr>
        <w:fldChar w:fldCharType="end"/>
      </w:r>
      <w:r w:rsidRPr="006E3AE2">
        <w:rPr>
          <w:rFonts w:asciiTheme="majorHAnsi" w:hAnsiTheme="majorHAnsi" w:cstheme="majorHAnsi"/>
          <w:lang w:val="es-CO"/>
        </w:rPr>
        <w:t>.</w:t>
      </w:r>
      <w:r>
        <w:rPr>
          <w:rFonts w:asciiTheme="majorHAnsi" w:hAnsiTheme="majorHAnsi" w:cstheme="majorHAnsi"/>
          <w:lang w:val="es-CO"/>
        </w:rPr>
        <w:t xml:space="preserve"> Cuestionario </w:t>
      </w:r>
      <w:r w:rsidRPr="008C0D76">
        <w:rPr>
          <w:rFonts w:asciiTheme="majorHAnsi" w:hAnsiTheme="majorHAnsi" w:cstheme="majorHAnsi"/>
          <w:lang w:val="es-CO"/>
        </w:rPr>
        <w:t>sobre costos de producción</w:t>
      </w:r>
      <w:r w:rsidR="00AB4AA2" w:rsidRPr="008C0D76">
        <w:rPr>
          <w:rFonts w:asciiTheme="majorHAnsi" w:hAnsiTheme="majorHAnsi" w:cstheme="majorHAnsi"/>
          <w:lang w:val="es-CO"/>
        </w:rPr>
        <w:t xml:space="preserve"> para productores</w:t>
      </w:r>
      <w:bookmarkEnd w:id="7"/>
    </w:p>
    <w:tbl>
      <w:tblPr>
        <w:tblW w:w="9295" w:type="dxa"/>
        <w:tblCellMar>
          <w:left w:w="70" w:type="dxa"/>
          <w:right w:w="70" w:type="dxa"/>
        </w:tblCellMar>
        <w:tblLook w:val="04A0" w:firstRow="1" w:lastRow="0" w:firstColumn="1" w:lastColumn="0" w:noHBand="0" w:noVBand="1"/>
      </w:tblPr>
      <w:tblGrid>
        <w:gridCol w:w="4810"/>
        <w:gridCol w:w="1045"/>
        <w:gridCol w:w="1648"/>
        <w:gridCol w:w="1785"/>
        <w:gridCol w:w="7"/>
      </w:tblGrid>
      <w:tr w:rsidR="00F049CF" w:rsidRPr="008C0D76" w14:paraId="05980290" w14:textId="77777777" w:rsidTr="00AB4AA2">
        <w:trPr>
          <w:trHeight w:val="315"/>
        </w:trPr>
        <w:tc>
          <w:tcPr>
            <w:tcW w:w="9295" w:type="dxa"/>
            <w:gridSpan w:val="5"/>
            <w:tcBorders>
              <w:top w:val="single" w:sz="4" w:space="0" w:color="auto"/>
              <w:left w:val="single" w:sz="4" w:space="0" w:color="auto"/>
              <w:bottom w:val="single" w:sz="4" w:space="0" w:color="auto"/>
              <w:right w:val="single" w:sz="4" w:space="0" w:color="auto"/>
            </w:tcBorders>
            <w:noWrap/>
            <w:vAlign w:val="bottom"/>
            <w:hideMark/>
          </w:tcPr>
          <w:p w14:paraId="16599439" w14:textId="77777777" w:rsidR="00F049CF" w:rsidRPr="008C0D76" w:rsidRDefault="00F049CF" w:rsidP="00F049CF">
            <w:pPr>
              <w:spacing w:after="0" w:line="240" w:lineRule="auto"/>
              <w:ind w:right="0"/>
              <w:jc w:val="center"/>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Costo de Producción Yuca</w:t>
            </w:r>
          </w:p>
        </w:tc>
      </w:tr>
      <w:tr w:rsidR="00AB4AA2" w:rsidRPr="008C0D76" w14:paraId="11EB1838"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01A1CD0D" w14:textId="77777777" w:rsidR="00AB4AA2" w:rsidRPr="008C0D76" w:rsidRDefault="00AB4AA2" w:rsidP="00F049CF">
            <w:pPr>
              <w:spacing w:after="0" w:line="240" w:lineRule="auto"/>
              <w:ind w:right="0"/>
              <w:rPr>
                <w:rFonts w:asciiTheme="majorHAnsi" w:eastAsia="Times New Roman" w:hAnsiTheme="majorHAnsi"/>
                <w:color w:val="auto"/>
                <w:sz w:val="20"/>
                <w:szCs w:val="20"/>
                <w:lang w:val="es-CO" w:eastAsia="es-CO"/>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37442F9C" w14:textId="77777777" w:rsidR="00AB4AA2" w:rsidRPr="008C0D76" w:rsidRDefault="00AB4AA2"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Cantidad</w:t>
            </w:r>
          </w:p>
        </w:tc>
        <w:tc>
          <w:tcPr>
            <w:tcW w:w="1648" w:type="dxa"/>
            <w:tcBorders>
              <w:top w:val="single" w:sz="4" w:space="0" w:color="auto"/>
              <w:left w:val="single" w:sz="4" w:space="0" w:color="auto"/>
              <w:bottom w:val="single" w:sz="4" w:space="0" w:color="auto"/>
              <w:right w:val="single" w:sz="4" w:space="0" w:color="auto"/>
            </w:tcBorders>
            <w:vAlign w:val="center"/>
            <w:hideMark/>
          </w:tcPr>
          <w:p w14:paraId="4DE33CE1" w14:textId="77777777" w:rsidR="00AB4AA2" w:rsidRPr="008C0D76" w:rsidRDefault="00AB4AA2"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Valor Unitario ($)</w:t>
            </w:r>
          </w:p>
        </w:tc>
        <w:tc>
          <w:tcPr>
            <w:tcW w:w="1785" w:type="dxa"/>
            <w:tcBorders>
              <w:top w:val="single" w:sz="4" w:space="0" w:color="auto"/>
              <w:left w:val="single" w:sz="4" w:space="0" w:color="auto"/>
              <w:bottom w:val="single" w:sz="4" w:space="0" w:color="auto"/>
              <w:right w:val="single" w:sz="4" w:space="0" w:color="auto"/>
            </w:tcBorders>
            <w:vAlign w:val="center"/>
            <w:hideMark/>
          </w:tcPr>
          <w:p w14:paraId="21A35470" w14:textId="77777777" w:rsidR="00AB4AA2" w:rsidRPr="008C0D76" w:rsidRDefault="00AB4AA2"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Valor Total ($)</w:t>
            </w:r>
          </w:p>
        </w:tc>
      </w:tr>
      <w:tr w:rsidR="00F049CF" w:rsidRPr="00F77147" w14:paraId="1A425128"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030CD36C"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1. Costos Directos (establecimiento -sostenimiento -cosecha)</w:t>
            </w:r>
          </w:p>
        </w:tc>
        <w:tc>
          <w:tcPr>
            <w:tcW w:w="1045" w:type="dxa"/>
            <w:tcBorders>
              <w:top w:val="single" w:sz="4" w:space="0" w:color="auto"/>
              <w:left w:val="nil"/>
              <w:bottom w:val="single" w:sz="4" w:space="0" w:color="auto"/>
              <w:right w:val="single" w:sz="4" w:space="0" w:color="auto"/>
            </w:tcBorders>
            <w:vAlign w:val="center"/>
            <w:hideMark/>
          </w:tcPr>
          <w:p w14:paraId="1E1776C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05339D84"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282E7B70"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27634474"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7D301A5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 Insumos</w:t>
            </w:r>
          </w:p>
        </w:tc>
        <w:tc>
          <w:tcPr>
            <w:tcW w:w="1045" w:type="dxa"/>
            <w:tcBorders>
              <w:top w:val="single" w:sz="4" w:space="0" w:color="auto"/>
              <w:left w:val="nil"/>
              <w:bottom w:val="single" w:sz="4" w:space="0" w:color="auto"/>
              <w:right w:val="single" w:sz="4" w:space="0" w:color="auto"/>
            </w:tcBorders>
            <w:vAlign w:val="center"/>
            <w:hideMark/>
          </w:tcPr>
          <w:p w14:paraId="3970296B"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1EF1BA3A"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3A81FA1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3A61232D"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2645EDA9"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1.1.1 Semilla</w:t>
            </w:r>
          </w:p>
        </w:tc>
        <w:tc>
          <w:tcPr>
            <w:tcW w:w="1045" w:type="dxa"/>
            <w:tcBorders>
              <w:top w:val="single" w:sz="4" w:space="0" w:color="auto"/>
              <w:left w:val="nil"/>
              <w:bottom w:val="single" w:sz="4" w:space="0" w:color="auto"/>
              <w:right w:val="single" w:sz="4" w:space="0" w:color="auto"/>
            </w:tcBorders>
            <w:vAlign w:val="center"/>
            <w:hideMark/>
          </w:tcPr>
          <w:p w14:paraId="63BB25D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1DA87557"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62AA4D37"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3C2CC77F"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3B8F5A47"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1.1.2 Enmiendas, abonos y fertilizantes</w:t>
            </w:r>
          </w:p>
        </w:tc>
        <w:tc>
          <w:tcPr>
            <w:tcW w:w="1045" w:type="dxa"/>
            <w:tcBorders>
              <w:top w:val="single" w:sz="4" w:space="0" w:color="auto"/>
              <w:left w:val="nil"/>
              <w:bottom w:val="single" w:sz="4" w:space="0" w:color="auto"/>
              <w:right w:val="single" w:sz="4" w:space="0" w:color="auto"/>
            </w:tcBorders>
            <w:noWrap/>
            <w:vAlign w:val="bottom"/>
            <w:hideMark/>
          </w:tcPr>
          <w:p w14:paraId="058722F9"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2C556162"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6285A58C"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r>
      <w:tr w:rsidR="00F049CF" w:rsidRPr="008C0D76" w14:paraId="103EB57A"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1CEE3299"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1.1.3 Herbicidas</w:t>
            </w:r>
          </w:p>
        </w:tc>
        <w:tc>
          <w:tcPr>
            <w:tcW w:w="1045" w:type="dxa"/>
            <w:tcBorders>
              <w:top w:val="single" w:sz="4" w:space="0" w:color="auto"/>
              <w:left w:val="nil"/>
              <w:bottom w:val="single" w:sz="4" w:space="0" w:color="auto"/>
              <w:right w:val="single" w:sz="4" w:space="0" w:color="auto"/>
            </w:tcBorders>
            <w:vAlign w:val="center"/>
            <w:hideMark/>
          </w:tcPr>
          <w:p w14:paraId="7917DACA"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233174F7"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3B60EBB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F77147" w14:paraId="0EC1A268"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50C4CA6F"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1.1.4 Insecticidas y control de plagas</w:t>
            </w:r>
          </w:p>
        </w:tc>
        <w:tc>
          <w:tcPr>
            <w:tcW w:w="1045" w:type="dxa"/>
            <w:tcBorders>
              <w:top w:val="single" w:sz="4" w:space="0" w:color="auto"/>
              <w:left w:val="nil"/>
              <w:bottom w:val="single" w:sz="4" w:space="0" w:color="auto"/>
              <w:right w:val="single" w:sz="4" w:space="0" w:color="auto"/>
            </w:tcBorders>
            <w:vAlign w:val="center"/>
            <w:hideMark/>
          </w:tcPr>
          <w:p w14:paraId="2896D83F"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3DF2AD26"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21E9507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0E4F02D0"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35801ED6"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1.1.5 Fungicidas</w:t>
            </w:r>
          </w:p>
        </w:tc>
        <w:tc>
          <w:tcPr>
            <w:tcW w:w="1045" w:type="dxa"/>
            <w:tcBorders>
              <w:top w:val="single" w:sz="4" w:space="0" w:color="auto"/>
              <w:left w:val="nil"/>
              <w:bottom w:val="single" w:sz="4" w:space="0" w:color="auto"/>
              <w:right w:val="single" w:sz="4" w:space="0" w:color="auto"/>
            </w:tcBorders>
            <w:vAlign w:val="center"/>
            <w:hideMark/>
          </w:tcPr>
          <w:p w14:paraId="0F2BD448"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1F7B8E26"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6208FFE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464C9BDA"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082BA5A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1.1.6 Coadyuvantes y Madurantes</w:t>
            </w:r>
          </w:p>
        </w:tc>
        <w:tc>
          <w:tcPr>
            <w:tcW w:w="1045" w:type="dxa"/>
            <w:tcBorders>
              <w:top w:val="single" w:sz="4" w:space="0" w:color="auto"/>
              <w:left w:val="nil"/>
              <w:bottom w:val="single" w:sz="4" w:space="0" w:color="auto"/>
              <w:right w:val="single" w:sz="4" w:space="0" w:color="auto"/>
            </w:tcBorders>
            <w:vAlign w:val="center"/>
            <w:hideMark/>
          </w:tcPr>
          <w:p w14:paraId="0D7DD095"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2EB7955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53E9AAD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2B722E6E"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0403E38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1.1.7 Empaques</w:t>
            </w:r>
          </w:p>
        </w:tc>
        <w:tc>
          <w:tcPr>
            <w:tcW w:w="1045" w:type="dxa"/>
            <w:tcBorders>
              <w:top w:val="single" w:sz="4" w:space="0" w:color="auto"/>
              <w:left w:val="nil"/>
              <w:bottom w:val="single" w:sz="4" w:space="0" w:color="auto"/>
              <w:right w:val="single" w:sz="4" w:space="0" w:color="auto"/>
            </w:tcBorders>
            <w:vAlign w:val="center"/>
            <w:hideMark/>
          </w:tcPr>
          <w:p w14:paraId="243D342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5B074C4E"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420741C0"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0CBF8B7C"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66BF6F8"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Subtotal Insumos</w:t>
            </w:r>
          </w:p>
        </w:tc>
        <w:tc>
          <w:tcPr>
            <w:tcW w:w="1045" w:type="dxa"/>
            <w:tcBorders>
              <w:top w:val="single" w:sz="4" w:space="0" w:color="auto"/>
              <w:left w:val="nil"/>
              <w:bottom w:val="single" w:sz="4" w:space="0" w:color="auto"/>
              <w:right w:val="single" w:sz="4" w:space="0" w:color="auto"/>
            </w:tcBorders>
            <w:vAlign w:val="center"/>
            <w:hideMark/>
          </w:tcPr>
          <w:p w14:paraId="06EE6D1A"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03DC2C3B"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3099863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17C0C39D"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2B56C5C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1.1.8 Maquinaria y preparación suelo</w:t>
            </w:r>
          </w:p>
        </w:tc>
        <w:tc>
          <w:tcPr>
            <w:tcW w:w="1045" w:type="dxa"/>
            <w:tcBorders>
              <w:top w:val="single" w:sz="4" w:space="0" w:color="auto"/>
              <w:left w:val="nil"/>
              <w:bottom w:val="single" w:sz="4" w:space="0" w:color="auto"/>
              <w:right w:val="single" w:sz="4" w:space="0" w:color="auto"/>
            </w:tcBorders>
            <w:vAlign w:val="center"/>
            <w:hideMark/>
          </w:tcPr>
          <w:p w14:paraId="3AEF1454"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00EB9F9B"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6A569C8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2898A9A1"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91D1CA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1.1.9 Mano de obra</w:t>
            </w:r>
          </w:p>
        </w:tc>
        <w:tc>
          <w:tcPr>
            <w:tcW w:w="1045" w:type="dxa"/>
            <w:tcBorders>
              <w:top w:val="single" w:sz="4" w:space="0" w:color="auto"/>
              <w:left w:val="nil"/>
              <w:bottom w:val="single" w:sz="4" w:space="0" w:color="auto"/>
              <w:right w:val="single" w:sz="4" w:space="0" w:color="auto"/>
            </w:tcBorders>
            <w:noWrap/>
            <w:vAlign w:val="bottom"/>
            <w:hideMark/>
          </w:tcPr>
          <w:p w14:paraId="4CE1ECFE"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124DA571"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47D0995F"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r>
      <w:tr w:rsidR="00F049CF" w:rsidRPr="008C0D76" w14:paraId="6084AC7A"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03B05058"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1.1.10 Transporte obreros e insumos</w:t>
            </w:r>
          </w:p>
        </w:tc>
        <w:tc>
          <w:tcPr>
            <w:tcW w:w="1045" w:type="dxa"/>
            <w:tcBorders>
              <w:top w:val="single" w:sz="4" w:space="0" w:color="auto"/>
              <w:left w:val="nil"/>
              <w:bottom w:val="single" w:sz="4" w:space="0" w:color="auto"/>
              <w:right w:val="single" w:sz="4" w:space="0" w:color="auto"/>
            </w:tcBorders>
            <w:noWrap/>
            <w:vAlign w:val="bottom"/>
            <w:hideMark/>
          </w:tcPr>
          <w:p w14:paraId="1E07050E"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0E59AFB3"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21B60FB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7BBB019B"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CD9A07B"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1.1.11 Infraestructura productiva</w:t>
            </w:r>
          </w:p>
        </w:tc>
        <w:tc>
          <w:tcPr>
            <w:tcW w:w="1045" w:type="dxa"/>
            <w:tcBorders>
              <w:top w:val="single" w:sz="4" w:space="0" w:color="auto"/>
              <w:left w:val="nil"/>
              <w:bottom w:val="single" w:sz="4" w:space="0" w:color="auto"/>
              <w:right w:val="single" w:sz="4" w:space="0" w:color="auto"/>
            </w:tcBorders>
            <w:noWrap/>
            <w:vAlign w:val="bottom"/>
            <w:hideMark/>
          </w:tcPr>
          <w:p w14:paraId="23EE788F"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0E93D2AE"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580610AF"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20B5F9A3" w14:textId="77777777" w:rsidTr="00AB4AA2">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0399710"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Subtotal Costos Directos</w:t>
            </w:r>
          </w:p>
        </w:tc>
        <w:tc>
          <w:tcPr>
            <w:tcW w:w="1045" w:type="dxa"/>
            <w:tcBorders>
              <w:top w:val="single" w:sz="4" w:space="0" w:color="auto"/>
              <w:left w:val="nil"/>
              <w:bottom w:val="single" w:sz="4" w:space="0" w:color="auto"/>
              <w:right w:val="single" w:sz="4" w:space="0" w:color="auto"/>
            </w:tcBorders>
            <w:vAlign w:val="center"/>
            <w:hideMark/>
          </w:tcPr>
          <w:p w14:paraId="4C650F1D"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vAlign w:val="center"/>
            <w:hideMark/>
          </w:tcPr>
          <w:p w14:paraId="5C019E4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vAlign w:val="center"/>
            <w:hideMark/>
          </w:tcPr>
          <w:p w14:paraId="452111D5"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1F7219C2"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0036B337"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2. Costos Indirectos</w:t>
            </w:r>
          </w:p>
        </w:tc>
        <w:tc>
          <w:tcPr>
            <w:tcW w:w="1045" w:type="dxa"/>
            <w:tcBorders>
              <w:top w:val="single" w:sz="4" w:space="0" w:color="auto"/>
              <w:left w:val="nil"/>
              <w:bottom w:val="single" w:sz="4" w:space="0" w:color="auto"/>
              <w:right w:val="single" w:sz="4" w:space="0" w:color="auto"/>
            </w:tcBorders>
            <w:noWrap/>
            <w:vAlign w:val="center"/>
            <w:hideMark/>
          </w:tcPr>
          <w:p w14:paraId="4D860605"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center"/>
            <w:hideMark/>
          </w:tcPr>
          <w:p w14:paraId="29A1BAC5"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center"/>
            <w:hideMark/>
          </w:tcPr>
          <w:p w14:paraId="3C86EE55"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3C20BEF6"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7752EA03"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2.1 Arrendamiento tierra</w:t>
            </w:r>
          </w:p>
        </w:tc>
        <w:tc>
          <w:tcPr>
            <w:tcW w:w="1045" w:type="dxa"/>
            <w:tcBorders>
              <w:top w:val="single" w:sz="4" w:space="0" w:color="auto"/>
              <w:left w:val="nil"/>
              <w:bottom w:val="single" w:sz="4" w:space="0" w:color="auto"/>
              <w:right w:val="single" w:sz="4" w:space="0" w:color="auto"/>
            </w:tcBorders>
            <w:noWrap/>
            <w:vAlign w:val="center"/>
            <w:hideMark/>
          </w:tcPr>
          <w:p w14:paraId="42E85A5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center"/>
            <w:hideMark/>
          </w:tcPr>
          <w:p w14:paraId="66DDBE8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center"/>
            <w:hideMark/>
          </w:tcPr>
          <w:p w14:paraId="63E3FAFE"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09B9161E"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4F4AB14B"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2.2 Administración</w:t>
            </w:r>
          </w:p>
        </w:tc>
        <w:tc>
          <w:tcPr>
            <w:tcW w:w="1045" w:type="dxa"/>
            <w:tcBorders>
              <w:top w:val="single" w:sz="4" w:space="0" w:color="auto"/>
              <w:left w:val="nil"/>
              <w:bottom w:val="single" w:sz="4" w:space="0" w:color="auto"/>
              <w:right w:val="single" w:sz="4" w:space="0" w:color="auto"/>
            </w:tcBorders>
            <w:noWrap/>
            <w:vAlign w:val="bottom"/>
            <w:hideMark/>
          </w:tcPr>
          <w:p w14:paraId="7F80607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7B0277DE"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28BD858C"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1506F342"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1C92309A"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2.3 Depreciación construcciones y equipos</w:t>
            </w:r>
          </w:p>
        </w:tc>
        <w:tc>
          <w:tcPr>
            <w:tcW w:w="1045" w:type="dxa"/>
            <w:tcBorders>
              <w:top w:val="single" w:sz="4" w:space="0" w:color="auto"/>
              <w:left w:val="nil"/>
              <w:bottom w:val="single" w:sz="4" w:space="0" w:color="auto"/>
              <w:right w:val="single" w:sz="4" w:space="0" w:color="auto"/>
            </w:tcBorders>
            <w:noWrap/>
            <w:vAlign w:val="bottom"/>
            <w:hideMark/>
          </w:tcPr>
          <w:p w14:paraId="2F5F4429"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74C6A5EB"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03D81E16"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5E529BE2"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46AEE678"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2.4 Costo capital</w:t>
            </w:r>
          </w:p>
        </w:tc>
        <w:tc>
          <w:tcPr>
            <w:tcW w:w="1045" w:type="dxa"/>
            <w:tcBorders>
              <w:top w:val="single" w:sz="4" w:space="0" w:color="auto"/>
              <w:left w:val="nil"/>
              <w:bottom w:val="single" w:sz="4" w:space="0" w:color="auto"/>
              <w:right w:val="single" w:sz="4" w:space="0" w:color="auto"/>
            </w:tcBorders>
            <w:noWrap/>
            <w:vAlign w:val="bottom"/>
            <w:hideMark/>
          </w:tcPr>
          <w:p w14:paraId="3ECC6BFA"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43571C41"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7FE3B98F"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49B1F8EC"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22330D89"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Subtotal Costos Indirectos</w:t>
            </w:r>
          </w:p>
        </w:tc>
        <w:tc>
          <w:tcPr>
            <w:tcW w:w="1045" w:type="dxa"/>
            <w:tcBorders>
              <w:top w:val="single" w:sz="4" w:space="0" w:color="auto"/>
              <w:left w:val="nil"/>
              <w:bottom w:val="single" w:sz="4" w:space="0" w:color="auto"/>
              <w:right w:val="single" w:sz="4" w:space="0" w:color="auto"/>
            </w:tcBorders>
            <w:noWrap/>
            <w:vAlign w:val="bottom"/>
            <w:hideMark/>
          </w:tcPr>
          <w:p w14:paraId="1B9B11D8"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2708537A"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05773828"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F049CF" w:rsidRPr="008C0D76" w14:paraId="2AD11A30"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4BA75DE2"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Total Costos de Producción</w:t>
            </w:r>
          </w:p>
        </w:tc>
        <w:tc>
          <w:tcPr>
            <w:tcW w:w="1045" w:type="dxa"/>
            <w:tcBorders>
              <w:top w:val="single" w:sz="4" w:space="0" w:color="auto"/>
              <w:left w:val="nil"/>
              <w:bottom w:val="single" w:sz="4" w:space="0" w:color="auto"/>
              <w:right w:val="single" w:sz="4" w:space="0" w:color="auto"/>
            </w:tcBorders>
            <w:noWrap/>
            <w:vAlign w:val="bottom"/>
            <w:hideMark/>
          </w:tcPr>
          <w:p w14:paraId="6EC9935F"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single" w:sz="4" w:space="0" w:color="auto"/>
              <w:left w:val="nil"/>
              <w:bottom w:val="single" w:sz="4" w:space="0" w:color="auto"/>
              <w:right w:val="single" w:sz="4" w:space="0" w:color="auto"/>
            </w:tcBorders>
            <w:noWrap/>
            <w:vAlign w:val="bottom"/>
            <w:hideMark/>
          </w:tcPr>
          <w:p w14:paraId="46278F69" w14:textId="77777777" w:rsidR="00F049CF" w:rsidRPr="008C0D76" w:rsidRDefault="00F049CF" w:rsidP="00F049CF">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single" w:sz="4" w:space="0" w:color="auto"/>
              <w:left w:val="nil"/>
              <w:bottom w:val="single" w:sz="4" w:space="0" w:color="auto"/>
              <w:right w:val="single" w:sz="4" w:space="0" w:color="auto"/>
            </w:tcBorders>
            <w:noWrap/>
            <w:vAlign w:val="bottom"/>
            <w:hideMark/>
          </w:tcPr>
          <w:p w14:paraId="76B57832" w14:textId="77777777" w:rsidR="00F049CF" w:rsidRPr="008C0D76" w:rsidRDefault="00F049CF" w:rsidP="00F049CF">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r>
    </w:tbl>
    <w:p w14:paraId="2AA3E692" w14:textId="77777777" w:rsidR="004D2588" w:rsidRDefault="004D2588" w:rsidP="004D2588">
      <w:pPr>
        <w:jc w:val="both"/>
        <w:rPr>
          <w:rFonts w:asciiTheme="majorHAnsi" w:hAnsiTheme="majorHAnsi" w:cstheme="majorHAnsi"/>
          <w:lang w:val="es-CO"/>
        </w:rPr>
      </w:pPr>
      <w:r>
        <w:rPr>
          <w:rFonts w:asciiTheme="majorHAnsi" w:hAnsiTheme="majorHAnsi" w:cstheme="majorHAnsi"/>
          <w:lang w:val="es-CO"/>
        </w:rPr>
        <w:t xml:space="preserve">Fuente: elaboración propia con base en </w:t>
      </w:r>
      <w:r>
        <w:rPr>
          <w:rFonts w:asciiTheme="majorHAnsi" w:hAnsiTheme="majorHAnsi" w:cstheme="majorHAnsi"/>
          <w:lang w:val="es-CO"/>
        </w:rPr>
        <w:fldChar w:fldCharType="begin"/>
      </w:r>
      <w:r>
        <w:rPr>
          <w:rFonts w:asciiTheme="majorHAnsi" w:hAnsiTheme="majorHAnsi" w:cstheme="majorHAnsi"/>
          <w:lang w:val="es-CO"/>
        </w:rPr>
        <w:instrText xml:space="preserve"> ADDIN ZOTERO_ITEM CSL_CITATION {"citationID":"Vr58a5Uk","properties":{"formattedCitation":"(MADR, Ministerio de Agricultura y Desarrollo Rural, 2019)","plainCitation":"(MADR, Ministerio de Agricultura y Desarrollo Rural, 2019)","noteIndex":0},"citationItems":[{"id":2279,"uris":["http://zotero.org/groups/4898838/items/8ZCCYXVU"],"itemData":{"id":2279,"type":"document","title":"Subsector Productivo de la Yuca","URL":"https://sioc.minagricultura.gov.co/Yuca/Documentos/2019-06-30%20Cifras%20Sectoriales.pdf","author":[{"family":"MADR, Ministerio de Agricultura y Desarrollo Rural","given":""}],"issued":{"date-parts":[["2019"]]}}}],"schema":"https://github.com/citation-style-language/schema/raw/master/csl-citation.json"} </w:instrText>
      </w:r>
      <w:r>
        <w:rPr>
          <w:rFonts w:asciiTheme="majorHAnsi" w:hAnsiTheme="majorHAnsi" w:cstheme="majorHAnsi"/>
          <w:lang w:val="es-CO"/>
        </w:rPr>
        <w:fldChar w:fldCharType="separate"/>
      </w:r>
      <w:r w:rsidRPr="004D2588">
        <w:rPr>
          <w:rFonts w:cs="Calibri"/>
          <w:lang w:val="es-CO"/>
        </w:rPr>
        <w:t>(MADR, Ministerio de Agricultura y Desarrollo Rural, 2019)</w:t>
      </w:r>
      <w:r>
        <w:rPr>
          <w:rFonts w:asciiTheme="majorHAnsi" w:hAnsiTheme="majorHAnsi" w:cstheme="majorHAnsi"/>
          <w:lang w:val="es-CO"/>
        </w:rPr>
        <w:fldChar w:fldCharType="end"/>
      </w:r>
      <w:r>
        <w:rPr>
          <w:rFonts w:asciiTheme="majorHAnsi" w:hAnsiTheme="majorHAnsi" w:cstheme="majorHAnsi"/>
          <w:lang w:val="es-CO"/>
        </w:rPr>
        <w:t>.</w:t>
      </w:r>
    </w:p>
    <w:p w14:paraId="545B144C" w14:textId="414E0FFA" w:rsidR="00AB4AA2" w:rsidRPr="008C0D76" w:rsidRDefault="00AB4AA2" w:rsidP="00955648">
      <w:pPr>
        <w:jc w:val="both"/>
        <w:rPr>
          <w:rFonts w:asciiTheme="majorHAnsi" w:hAnsiTheme="majorHAnsi" w:cstheme="majorHAnsi"/>
          <w:lang w:val="es-CO"/>
        </w:rPr>
      </w:pPr>
      <w:bookmarkStart w:id="8" w:name="_Toc217565998"/>
      <w:r w:rsidRPr="008C0D76">
        <w:rPr>
          <w:rFonts w:asciiTheme="majorHAnsi" w:hAnsiTheme="majorHAnsi" w:cstheme="majorHAnsi"/>
          <w:lang w:val="es-CO"/>
        </w:rPr>
        <w:t xml:space="preserve">Tabla </w:t>
      </w:r>
      <w:r w:rsidRPr="008C0D76">
        <w:rPr>
          <w:rFonts w:asciiTheme="majorHAnsi" w:hAnsiTheme="majorHAnsi" w:cstheme="majorHAnsi"/>
          <w:lang w:val="es-CO"/>
        </w:rPr>
        <w:fldChar w:fldCharType="begin"/>
      </w:r>
      <w:r w:rsidRPr="008C0D76">
        <w:rPr>
          <w:rFonts w:asciiTheme="majorHAnsi" w:hAnsiTheme="majorHAnsi" w:cstheme="majorHAnsi"/>
          <w:lang w:val="es-CO"/>
        </w:rPr>
        <w:instrText xml:space="preserve"> SEQ Tabla \* ARABIC </w:instrText>
      </w:r>
      <w:r w:rsidRPr="008C0D76">
        <w:rPr>
          <w:rFonts w:asciiTheme="majorHAnsi" w:hAnsiTheme="majorHAnsi" w:cstheme="majorHAnsi"/>
          <w:lang w:val="es-CO"/>
        </w:rPr>
        <w:fldChar w:fldCharType="separate"/>
      </w:r>
      <w:r w:rsidRPr="008C0D76">
        <w:rPr>
          <w:rFonts w:asciiTheme="majorHAnsi" w:hAnsiTheme="majorHAnsi" w:cstheme="majorHAnsi"/>
          <w:noProof/>
          <w:lang w:val="es-CO"/>
        </w:rPr>
        <w:t>3</w:t>
      </w:r>
      <w:r w:rsidRPr="008C0D76">
        <w:rPr>
          <w:rFonts w:asciiTheme="majorHAnsi" w:hAnsiTheme="majorHAnsi" w:cstheme="majorHAnsi"/>
          <w:lang w:val="es-CO"/>
        </w:rPr>
        <w:fldChar w:fldCharType="end"/>
      </w:r>
      <w:r w:rsidRPr="008C0D76">
        <w:rPr>
          <w:rFonts w:asciiTheme="majorHAnsi" w:hAnsiTheme="majorHAnsi" w:cstheme="majorHAnsi"/>
          <w:lang w:val="es-CO"/>
        </w:rPr>
        <w:t>. Cuestionario sobre costos de producción para transformadores</w:t>
      </w:r>
      <w:bookmarkEnd w:id="8"/>
    </w:p>
    <w:tbl>
      <w:tblPr>
        <w:tblW w:w="9295" w:type="dxa"/>
        <w:tblCellMar>
          <w:left w:w="70" w:type="dxa"/>
          <w:right w:w="70" w:type="dxa"/>
        </w:tblCellMar>
        <w:tblLook w:val="04A0" w:firstRow="1" w:lastRow="0" w:firstColumn="1" w:lastColumn="0" w:noHBand="0" w:noVBand="1"/>
      </w:tblPr>
      <w:tblGrid>
        <w:gridCol w:w="4810"/>
        <w:gridCol w:w="1045"/>
        <w:gridCol w:w="1648"/>
        <w:gridCol w:w="1785"/>
        <w:gridCol w:w="7"/>
      </w:tblGrid>
      <w:tr w:rsidR="00AB4AA2" w:rsidRPr="008C0D76" w14:paraId="79860B03" w14:textId="77777777" w:rsidTr="00A17BED">
        <w:trPr>
          <w:trHeight w:val="315"/>
        </w:trPr>
        <w:tc>
          <w:tcPr>
            <w:tcW w:w="9295" w:type="dxa"/>
            <w:gridSpan w:val="5"/>
            <w:tcBorders>
              <w:top w:val="single" w:sz="8" w:space="0" w:color="auto"/>
              <w:left w:val="single" w:sz="8" w:space="0" w:color="auto"/>
              <w:bottom w:val="single" w:sz="8" w:space="0" w:color="auto"/>
              <w:right w:val="single" w:sz="8" w:space="0" w:color="000000"/>
            </w:tcBorders>
            <w:noWrap/>
            <w:vAlign w:val="bottom"/>
            <w:hideMark/>
          </w:tcPr>
          <w:p w14:paraId="7263CB95" w14:textId="7DF0A008" w:rsidR="00AB4AA2" w:rsidRPr="008C0D76" w:rsidRDefault="00AB4AA2" w:rsidP="00AB4AA2">
            <w:pPr>
              <w:spacing w:after="0" w:line="240" w:lineRule="auto"/>
              <w:ind w:right="0"/>
              <w:jc w:val="center"/>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Costo de Transformación Yuca</w:t>
            </w:r>
          </w:p>
        </w:tc>
      </w:tr>
      <w:tr w:rsidR="00AB4AA2" w:rsidRPr="008C0D76" w14:paraId="239E8779"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2C699FE6" w14:textId="77777777" w:rsidR="00AB4AA2" w:rsidRPr="008C0D76" w:rsidRDefault="00AB4AA2" w:rsidP="00A17BED">
            <w:pPr>
              <w:spacing w:after="0" w:line="240" w:lineRule="auto"/>
              <w:ind w:right="0"/>
              <w:rPr>
                <w:rFonts w:asciiTheme="majorHAnsi" w:eastAsia="Times New Roman" w:hAnsiTheme="majorHAnsi"/>
                <w:color w:val="auto"/>
                <w:sz w:val="20"/>
                <w:szCs w:val="20"/>
                <w:lang w:val="es-CO" w:eastAsia="es-CO"/>
              </w:rPr>
            </w:pPr>
          </w:p>
        </w:tc>
        <w:tc>
          <w:tcPr>
            <w:tcW w:w="1045" w:type="dxa"/>
            <w:tcBorders>
              <w:top w:val="nil"/>
              <w:left w:val="single" w:sz="4" w:space="0" w:color="auto"/>
              <w:bottom w:val="single" w:sz="4" w:space="0" w:color="auto"/>
              <w:right w:val="single" w:sz="4" w:space="0" w:color="auto"/>
            </w:tcBorders>
            <w:vAlign w:val="center"/>
            <w:hideMark/>
          </w:tcPr>
          <w:p w14:paraId="6B280DB9"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Cantidad</w:t>
            </w:r>
          </w:p>
        </w:tc>
        <w:tc>
          <w:tcPr>
            <w:tcW w:w="1648" w:type="dxa"/>
            <w:tcBorders>
              <w:top w:val="nil"/>
              <w:left w:val="nil"/>
              <w:bottom w:val="single" w:sz="4" w:space="0" w:color="auto"/>
              <w:right w:val="single" w:sz="4" w:space="0" w:color="auto"/>
            </w:tcBorders>
            <w:vAlign w:val="center"/>
            <w:hideMark/>
          </w:tcPr>
          <w:p w14:paraId="7AA363DF"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Valor Unitario ($)</w:t>
            </w:r>
          </w:p>
        </w:tc>
        <w:tc>
          <w:tcPr>
            <w:tcW w:w="1785" w:type="dxa"/>
            <w:tcBorders>
              <w:top w:val="nil"/>
              <w:left w:val="nil"/>
              <w:bottom w:val="single" w:sz="4" w:space="0" w:color="auto"/>
              <w:right w:val="single" w:sz="4" w:space="0" w:color="auto"/>
            </w:tcBorders>
            <w:vAlign w:val="center"/>
            <w:hideMark/>
          </w:tcPr>
          <w:p w14:paraId="693B50FA"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Valor Total ($)</w:t>
            </w:r>
          </w:p>
        </w:tc>
      </w:tr>
      <w:tr w:rsidR="00AB4AA2" w:rsidRPr="00F77147" w14:paraId="40C0EF00" w14:textId="77777777" w:rsidTr="00AB4AA2">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13C00214"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1. Costos Directos (establecimiento -sostenimiento -cosecha)</w:t>
            </w:r>
          </w:p>
        </w:tc>
        <w:tc>
          <w:tcPr>
            <w:tcW w:w="1045" w:type="dxa"/>
            <w:tcBorders>
              <w:top w:val="nil"/>
              <w:left w:val="nil"/>
              <w:bottom w:val="single" w:sz="4" w:space="0" w:color="auto"/>
              <w:right w:val="single" w:sz="4" w:space="0" w:color="auto"/>
            </w:tcBorders>
            <w:vAlign w:val="center"/>
            <w:hideMark/>
          </w:tcPr>
          <w:p w14:paraId="481C79EE"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vAlign w:val="center"/>
            <w:hideMark/>
          </w:tcPr>
          <w:p w14:paraId="077E6FF0"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vAlign w:val="center"/>
            <w:hideMark/>
          </w:tcPr>
          <w:p w14:paraId="189900D0"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539A5434"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center"/>
            <w:hideMark/>
          </w:tcPr>
          <w:p w14:paraId="449D98C2" w14:textId="058A867B"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1.1 Insumos (raíces de yuca)</w:t>
            </w:r>
          </w:p>
        </w:tc>
        <w:tc>
          <w:tcPr>
            <w:tcW w:w="1045" w:type="dxa"/>
            <w:tcBorders>
              <w:top w:val="nil"/>
              <w:left w:val="nil"/>
              <w:bottom w:val="single" w:sz="4" w:space="0" w:color="auto"/>
              <w:right w:val="single" w:sz="4" w:space="0" w:color="auto"/>
            </w:tcBorders>
            <w:vAlign w:val="center"/>
            <w:hideMark/>
          </w:tcPr>
          <w:p w14:paraId="6CFA286F"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vAlign w:val="center"/>
            <w:hideMark/>
          </w:tcPr>
          <w:p w14:paraId="53EE21FC"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vAlign w:val="center"/>
            <w:hideMark/>
          </w:tcPr>
          <w:p w14:paraId="719A9D88"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4B214AB9"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DFDCFF2" w14:textId="475D0485" w:rsidR="00AB4AA2" w:rsidRPr="008C0D76" w:rsidRDefault="00AB4AA2" w:rsidP="00AB4AA2">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1.2 Energía</w:t>
            </w:r>
          </w:p>
        </w:tc>
        <w:tc>
          <w:tcPr>
            <w:tcW w:w="1045" w:type="dxa"/>
            <w:tcBorders>
              <w:top w:val="nil"/>
              <w:left w:val="nil"/>
              <w:bottom w:val="single" w:sz="4" w:space="0" w:color="auto"/>
              <w:right w:val="single" w:sz="4" w:space="0" w:color="auto"/>
            </w:tcBorders>
            <w:vAlign w:val="center"/>
            <w:hideMark/>
          </w:tcPr>
          <w:p w14:paraId="6D1F5DDD"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vAlign w:val="center"/>
            <w:hideMark/>
          </w:tcPr>
          <w:p w14:paraId="6760D727"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vAlign w:val="center"/>
            <w:hideMark/>
          </w:tcPr>
          <w:p w14:paraId="092AD45B"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0F8E3C95"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73C86BA" w14:textId="4F20AB42" w:rsidR="00AB4AA2" w:rsidRPr="008C0D76" w:rsidRDefault="00AB4AA2" w:rsidP="00AB4AA2">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1.3 Mano de obra</w:t>
            </w:r>
          </w:p>
        </w:tc>
        <w:tc>
          <w:tcPr>
            <w:tcW w:w="1045" w:type="dxa"/>
            <w:tcBorders>
              <w:top w:val="nil"/>
              <w:left w:val="nil"/>
              <w:bottom w:val="single" w:sz="4" w:space="0" w:color="auto"/>
              <w:right w:val="single" w:sz="4" w:space="0" w:color="auto"/>
            </w:tcBorders>
            <w:noWrap/>
            <w:vAlign w:val="bottom"/>
            <w:hideMark/>
          </w:tcPr>
          <w:p w14:paraId="48098083"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648" w:type="dxa"/>
            <w:tcBorders>
              <w:top w:val="nil"/>
              <w:left w:val="nil"/>
              <w:bottom w:val="single" w:sz="4" w:space="0" w:color="auto"/>
              <w:right w:val="single" w:sz="4" w:space="0" w:color="auto"/>
            </w:tcBorders>
            <w:noWrap/>
            <w:vAlign w:val="bottom"/>
            <w:hideMark/>
          </w:tcPr>
          <w:p w14:paraId="2F93ED7E"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785" w:type="dxa"/>
            <w:tcBorders>
              <w:top w:val="nil"/>
              <w:left w:val="nil"/>
              <w:bottom w:val="single" w:sz="4" w:space="0" w:color="auto"/>
              <w:right w:val="single" w:sz="4" w:space="0" w:color="auto"/>
            </w:tcBorders>
            <w:noWrap/>
            <w:vAlign w:val="bottom"/>
            <w:hideMark/>
          </w:tcPr>
          <w:p w14:paraId="590AD4B0"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r>
      <w:tr w:rsidR="00AB4AA2" w:rsidRPr="008C0D76" w14:paraId="37471BBC"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EB6CF08" w14:textId="4139D958" w:rsidR="00AB4AA2" w:rsidRPr="008C0D76" w:rsidRDefault="00AB4AA2" w:rsidP="00AB4AA2">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1.4 Insumos químicos</w:t>
            </w:r>
          </w:p>
        </w:tc>
        <w:tc>
          <w:tcPr>
            <w:tcW w:w="1045" w:type="dxa"/>
            <w:tcBorders>
              <w:top w:val="nil"/>
              <w:left w:val="nil"/>
              <w:bottom w:val="single" w:sz="4" w:space="0" w:color="auto"/>
              <w:right w:val="single" w:sz="4" w:space="0" w:color="auto"/>
            </w:tcBorders>
            <w:noWrap/>
            <w:vAlign w:val="bottom"/>
            <w:hideMark/>
          </w:tcPr>
          <w:p w14:paraId="26315ADF"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vAlign w:val="center"/>
            <w:hideMark/>
          </w:tcPr>
          <w:p w14:paraId="4E77E53E"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vAlign w:val="center"/>
            <w:hideMark/>
          </w:tcPr>
          <w:p w14:paraId="68A25942"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3E90F65C" w14:textId="77777777" w:rsidTr="00A17BED">
        <w:trPr>
          <w:gridAfter w:val="1"/>
          <w:wAfter w:w="7" w:type="dxa"/>
          <w:trHeight w:val="289"/>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3DFFBE35" w14:textId="25EA821A" w:rsidR="00AB4AA2" w:rsidRPr="008C0D76" w:rsidRDefault="00AB4AA2" w:rsidP="00AB4AA2">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1.5 Empaques</w:t>
            </w:r>
          </w:p>
        </w:tc>
        <w:tc>
          <w:tcPr>
            <w:tcW w:w="1045" w:type="dxa"/>
            <w:tcBorders>
              <w:top w:val="nil"/>
              <w:left w:val="nil"/>
              <w:bottom w:val="single" w:sz="4" w:space="0" w:color="auto"/>
              <w:right w:val="single" w:sz="4" w:space="0" w:color="auto"/>
            </w:tcBorders>
            <w:noWrap/>
            <w:vAlign w:val="bottom"/>
            <w:hideMark/>
          </w:tcPr>
          <w:p w14:paraId="1730D8F7"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vAlign w:val="center"/>
            <w:hideMark/>
          </w:tcPr>
          <w:p w14:paraId="480029D0"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vAlign w:val="center"/>
            <w:hideMark/>
          </w:tcPr>
          <w:p w14:paraId="4950DF3D"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039454F8"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58498B50"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2. Costos Indirectos</w:t>
            </w:r>
          </w:p>
        </w:tc>
        <w:tc>
          <w:tcPr>
            <w:tcW w:w="1045" w:type="dxa"/>
            <w:tcBorders>
              <w:top w:val="nil"/>
              <w:left w:val="nil"/>
              <w:bottom w:val="single" w:sz="4" w:space="0" w:color="auto"/>
              <w:right w:val="single" w:sz="4" w:space="0" w:color="auto"/>
            </w:tcBorders>
            <w:noWrap/>
            <w:vAlign w:val="center"/>
            <w:hideMark/>
          </w:tcPr>
          <w:p w14:paraId="18725754"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center"/>
            <w:hideMark/>
          </w:tcPr>
          <w:p w14:paraId="758CEE21"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center"/>
            <w:hideMark/>
          </w:tcPr>
          <w:p w14:paraId="3A98662B"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59E82AC0"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6C8C5D4C"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lastRenderedPageBreak/>
              <w:t>2.1 Arrendamiento tierra</w:t>
            </w:r>
          </w:p>
        </w:tc>
        <w:tc>
          <w:tcPr>
            <w:tcW w:w="1045" w:type="dxa"/>
            <w:tcBorders>
              <w:top w:val="nil"/>
              <w:left w:val="nil"/>
              <w:bottom w:val="single" w:sz="4" w:space="0" w:color="auto"/>
              <w:right w:val="single" w:sz="4" w:space="0" w:color="auto"/>
            </w:tcBorders>
            <w:noWrap/>
            <w:vAlign w:val="center"/>
            <w:hideMark/>
          </w:tcPr>
          <w:p w14:paraId="5FE41715"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center"/>
            <w:hideMark/>
          </w:tcPr>
          <w:p w14:paraId="4C565ED0"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center"/>
            <w:hideMark/>
          </w:tcPr>
          <w:p w14:paraId="288037C4"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387DCECA"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3ABCEBB4"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2.2 Administración</w:t>
            </w:r>
          </w:p>
        </w:tc>
        <w:tc>
          <w:tcPr>
            <w:tcW w:w="1045" w:type="dxa"/>
            <w:tcBorders>
              <w:top w:val="nil"/>
              <w:left w:val="nil"/>
              <w:bottom w:val="single" w:sz="4" w:space="0" w:color="auto"/>
              <w:right w:val="single" w:sz="4" w:space="0" w:color="auto"/>
            </w:tcBorders>
            <w:noWrap/>
            <w:vAlign w:val="bottom"/>
            <w:hideMark/>
          </w:tcPr>
          <w:p w14:paraId="7CAB3E11"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bottom"/>
            <w:hideMark/>
          </w:tcPr>
          <w:p w14:paraId="5078FEAC"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bottom"/>
            <w:hideMark/>
          </w:tcPr>
          <w:p w14:paraId="4CCEE6EC"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6CEFF796"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4D72FA2B"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2.3 Depreciación construcciones y equipos</w:t>
            </w:r>
          </w:p>
        </w:tc>
        <w:tc>
          <w:tcPr>
            <w:tcW w:w="1045" w:type="dxa"/>
            <w:tcBorders>
              <w:top w:val="nil"/>
              <w:left w:val="nil"/>
              <w:bottom w:val="single" w:sz="4" w:space="0" w:color="auto"/>
              <w:right w:val="single" w:sz="4" w:space="0" w:color="auto"/>
            </w:tcBorders>
            <w:noWrap/>
            <w:vAlign w:val="bottom"/>
            <w:hideMark/>
          </w:tcPr>
          <w:p w14:paraId="4EF414D8"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bottom"/>
            <w:hideMark/>
          </w:tcPr>
          <w:p w14:paraId="04D0786A"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bottom"/>
            <w:hideMark/>
          </w:tcPr>
          <w:p w14:paraId="4CA83B18"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24B7A0E3"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4CFA1699"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2.4 Costo capital</w:t>
            </w:r>
          </w:p>
        </w:tc>
        <w:tc>
          <w:tcPr>
            <w:tcW w:w="1045" w:type="dxa"/>
            <w:tcBorders>
              <w:top w:val="nil"/>
              <w:left w:val="nil"/>
              <w:bottom w:val="single" w:sz="4" w:space="0" w:color="auto"/>
              <w:right w:val="single" w:sz="4" w:space="0" w:color="auto"/>
            </w:tcBorders>
            <w:noWrap/>
            <w:vAlign w:val="bottom"/>
            <w:hideMark/>
          </w:tcPr>
          <w:p w14:paraId="3141D502"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bottom"/>
            <w:hideMark/>
          </w:tcPr>
          <w:p w14:paraId="45957702"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bottom"/>
            <w:hideMark/>
          </w:tcPr>
          <w:p w14:paraId="120353EF"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6901C34B"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33A3EC9F"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Subtotal Costos Indirectos</w:t>
            </w:r>
          </w:p>
        </w:tc>
        <w:tc>
          <w:tcPr>
            <w:tcW w:w="1045" w:type="dxa"/>
            <w:tcBorders>
              <w:top w:val="nil"/>
              <w:left w:val="nil"/>
              <w:bottom w:val="single" w:sz="4" w:space="0" w:color="auto"/>
              <w:right w:val="single" w:sz="4" w:space="0" w:color="auto"/>
            </w:tcBorders>
            <w:noWrap/>
            <w:vAlign w:val="bottom"/>
            <w:hideMark/>
          </w:tcPr>
          <w:p w14:paraId="32B96688"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bottom"/>
            <w:hideMark/>
          </w:tcPr>
          <w:p w14:paraId="0D9F2FEC"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bottom"/>
            <w:hideMark/>
          </w:tcPr>
          <w:p w14:paraId="2EFE3346"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AB4AA2" w:rsidRPr="008C0D76" w14:paraId="3B695091" w14:textId="77777777" w:rsidTr="00A17BED">
        <w:trPr>
          <w:gridAfter w:val="1"/>
          <w:wAfter w:w="7" w:type="dxa"/>
          <w:trHeight w:val="300"/>
        </w:trPr>
        <w:tc>
          <w:tcPr>
            <w:tcW w:w="4810" w:type="dxa"/>
            <w:tcBorders>
              <w:top w:val="single" w:sz="4" w:space="0" w:color="auto"/>
              <w:left w:val="single" w:sz="4" w:space="0" w:color="auto"/>
              <w:bottom w:val="single" w:sz="4" w:space="0" w:color="auto"/>
              <w:right w:val="single" w:sz="4" w:space="0" w:color="auto"/>
            </w:tcBorders>
            <w:noWrap/>
            <w:vAlign w:val="bottom"/>
            <w:hideMark/>
          </w:tcPr>
          <w:p w14:paraId="03ADFD4D"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Total Costos de Producción</w:t>
            </w:r>
          </w:p>
        </w:tc>
        <w:tc>
          <w:tcPr>
            <w:tcW w:w="1045" w:type="dxa"/>
            <w:tcBorders>
              <w:top w:val="nil"/>
              <w:left w:val="nil"/>
              <w:bottom w:val="single" w:sz="4" w:space="0" w:color="auto"/>
              <w:right w:val="single" w:sz="4" w:space="0" w:color="auto"/>
            </w:tcBorders>
            <w:noWrap/>
            <w:vAlign w:val="bottom"/>
            <w:hideMark/>
          </w:tcPr>
          <w:p w14:paraId="44DB1969"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648" w:type="dxa"/>
            <w:tcBorders>
              <w:top w:val="nil"/>
              <w:left w:val="nil"/>
              <w:bottom w:val="single" w:sz="4" w:space="0" w:color="auto"/>
              <w:right w:val="single" w:sz="4" w:space="0" w:color="auto"/>
            </w:tcBorders>
            <w:noWrap/>
            <w:vAlign w:val="bottom"/>
            <w:hideMark/>
          </w:tcPr>
          <w:p w14:paraId="246AB1F4" w14:textId="77777777" w:rsidR="00AB4AA2" w:rsidRPr="008C0D76" w:rsidRDefault="00AB4AA2" w:rsidP="00A17BED">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85" w:type="dxa"/>
            <w:tcBorders>
              <w:top w:val="nil"/>
              <w:left w:val="nil"/>
              <w:bottom w:val="single" w:sz="4" w:space="0" w:color="auto"/>
              <w:right w:val="single" w:sz="4" w:space="0" w:color="auto"/>
            </w:tcBorders>
            <w:noWrap/>
            <w:vAlign w:val="bottom"/>
            <w:hideMark/>
          </w:tcPr>
          <w:p w14:paraId="2C39AB31" w14:textId="77777777" w:rsidR="00AB4AA2" w:rsidRPr="008C0D76" w:rsidRDefault="00AB4AA2" w:rsidP="00A17BED">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r>
    </w:tbl>
    <w:p w14:paraId="4526936E" w14:textId="14813CE0" w:rsidR="00AB4AA2" w:rsidRPr="008C0D76" w:rsidRDefault="006942E5" w:rsidP="00955648">
      <w:pPr>
        <w:jc w:val="both"/>
        <w:rPr>
          <w:rFonts w:asciiTheme="majorHAnsi" w:hAnsiTheme="majorHAnsi" w:cstheme="majorHAnsi"/>
          <w:lang w:val="es-CO"/>
        </w:rPr>
      </w:pPr>
      <w:r>
        <w:rPr>
          <w:rFonts w:asciiTheme="majorHAnsi" w:hAnsiTheme="majorHAnsi" w:cstheme="majorHAnsi"/>
          <w:lang w:val="es-CO"/>
        </w:rPr>
        <w:t>Fuente: elaboración propia</w:t>
      </w:r>
      <w:r>
        <w:rPr>
          <w:rFonts w:asciiTheme="majorHAnsi" w:hAnsiTheme="majorHAnsi" w:cstheme="majorHAnsi"/>
          <w:lang w:val="es-CO"/>
        </w:rPr>
        <w:t xml:space="preserve"> con base en </w:t>
      </w:r>
      <w:r w:rsidR="00067098">
        <w:rPr>
          <w:rFonts w:asciiTheme="majorHAnsi" w:hAnsiTheme="majorHAnsi" w:cstheme="majorHAnsi"/>
          <w:lang w:val="es-CO"/>
        </w:rPr>
        <w:fldChar w:fldCharType="begin"/>
      </w:r>
      <w:r w:rsidR="008E7D4C">
        <w:rPr>
          <w:rFonts w:asciiTheme="majorHAnsi" w:hAnsiTheme="majorHAnsi" w:cstheme="majorHAnsi"/>
          <w:lang w:val="es-CO"/>
        </w:rPr>
        <w:instrText xml:space="preserve"> ADDIN ZOTERO_ITEM CSL_CITATION {"citationID":"1084IdeU","properties":{"formattedCitation":"(MADR, Ministerio de Agricultura y Desarrollo Rural, 2019)","plainCitation":"(MADR, Ministerio de Agricultura y Desarrollo Rural, 2019)","noteIndex":0},"citationItems":[{"id":2279,"uris":["http://zotero.org/groups/4898838/items/8ZCCYXVU"],"itemData":{"id":2279,"type":"document","title":"Subsector Productivo de la Yuca","URL":"https://sioc.minagricultura.gov.co/Yuca/Documentos/2019-06-30%20Cifras%20Sectoriales.pdf","author":[{"family":"MADR, Ministerio de Agricultura y Desarrollo Rural","given":""}],"issued":{"date-parts":[["2019"]]}}}],"schema":"https://github.com/citation-style-language/schema/raw/master/csl-citation.json"} </w:instrText>
      </w:r>
      <w:r w:rsidR="00067098">
        <w:rPr>
          <w:rFonts w:asciiTheme="majorHAnsi" w:hAnsiTheme="majorHAnsi" w:cstheme="majorHAnsi"/>
          <w:lang w:val="es-CO"/>
        </w:rPr>
        <w:fldChar w:fldCharType="separate"/>
      </w:r>
      <w:r w:rsidR="004D2588" w:rsidRPr="004D2588">
        <w:rPr>
          <w:rFonts w:cs="Calibri"/>
          <w:lang w:val="es-CO"/>
        </w:rPr>
        <w:t>(MADR, Ministerio de Agricultura y Desarrollo Rural, 2019)</w:t>
      </w:r>
      <w:r w:rsidR="00067098">
        <w:rPr>
          <w:rFonts w:asciiTheme="majorHAnsi" w:hAnsiTheme="majorHAnsi" w:cstheme="majorHAnsi"/>
          <w:lang w:val="es-CO"/>
        </w:rPr>
        <w:fldChar w:fldCharType="end"/>
      </w:r>
      <w:r w:rsidR="004D2588">
        <w:rPr>
          <w:rFonts w:asciiTheme="majorHAnsi" w:hAnsiTheme="majorHAnsi" w:cstheme="majorHAnsi"/>
          <w:lang w:val="es-CO"/>
        </w:rPr>
        <w:t>.</w:t>
      </w:r>
    </w:p>
    <w:p w14:paraId="2EDBD513" w14:textId="73994B85" w:rsidR="0015443A" w:rsidRPr="008C0D76" w:rsidRDefault="00A01A93" w:rsidP="00955648">
      <w:pPr>
        <w:jc w:val="both"/>
        <w:rPr>
          <w:rFonts w:asciiTheme="majorHAnsi" w:hAnsiTheme="majorHAnsi" w:cstheme="majorHAnsi"/>
          <w:lang w:val="es-CO"/>
        </w:rPr>
      </w:pPr>
      <w:bookmarkStart w:id="9" w:name="_Toc217565999"/>
      <w:r w:rsidRPr="008C0D76">
        <w:rPr>
          <w:rFonts w:asciiTheme="majorHAnsi" w:hAnsiTheme="majorHAnsi" w:cstheme="majorHAnsi"/>
          <w:lang w:val="es-CO"/>
        </w:rPr>
        <w:t xml:space="preserve">Tabla </w:t>
      </w:r>
      <w:r w:rsidRPr="008C0D76">
        <w:rPr>
          <w:rFonts w:asciiTheme="majorHAnsi" w:hAnsiTheme="majorHAnsi" w:cstheme="majorHAnsi"/>
          <w:lang w:val="es-CO"/>
        </w:rPr>
        <w:fldChar w:fldCharType="begin"/>
      </w:r>
      <w:r w:rsidRPr="008C0D76">
        <w:rPr>
          <w:rFonts w:asciiTheme="majorHAnsi" w:hAnsiTheme="majorHAnsi" w:cstheme="majorHAnsi"/>
          <w:lang w:val="es-CO"/>
        </w:rPr>
        <w:instrText xml:space="preserve"> SEQ Tabla \* ARABIC </w:instrText>
      </w:r>
      <w:r w:rsidRPr="008C0D76">
        <w:rPr>
          <w:rFonts w:asciiTheme="majorHAnsi" w:hAnsiTheme="majorHAnsi" w:cstheme="majorHAnsi"/>
          <w:lang w:val="es-CO"/>
        </w:rPr>
        <w:fldChar w:fldCharType="separate"/>
      </w:r>
      <w:r w:rsidR="00AB4AA2" w:rsidRPr="008C0D76">
        <w:rPr>
          <w:rFonts w:asciiTheme="majorHAnsi" w:hAnsiTheme="majorHAnsi" w:cstheme="majorHAnsi"/>
          <w:noProof/>
          <w:lang w:val="es-CO"/>
        </w:rPr>
        <w:t>4</w:t>
      </w:r>
      <w:r w:rsidRPr="008C0D76">
        <w:rPr>
          <w:rFonts w:asciiTheme="majorHAnsi" w:hAnsiTheme="majorHAnsi" w:cstheme="majorHAnsi"/>
          <w:lang w:val="es-CO"/>
        </w:rPr>
        <w:fldChar w:fldCharType="end"/>
      </w:r>
      <w:r w:rsidRPr="008C0D76">
        <w:rPr>
          <w:rFonts w:asciiTheme="majorHAnsi" w:hAnsiTheme="majorHAnsi" w:cstheme="majorHAnsi"/>
          <w:lang w:val="es-CO"/>
        </w:rPr>
        <w:t>. Cuestionario sobre empleo generado</w:t>
      </w:r>
      <w:bookmarkEnd w:id="9"/>
      <w:r w:rsidRPr="008C0D76">
        <w:rPr>
          <w:rFonts w:asciiTheme="majorHAnsi" w:hAnsiTheme="majorHAnsi" w:cstheme="majorHAnsi"/>
          <w:lang w:val="es-CO"/>
        </w:rPr>
        <w:t xml:space="preserve"> </w:t>
      </w:r>
    </w:p>
    <w:tbl>
      <w:tblPr>
        <w:tblW w:w="6942" w:type="dxa"/>
        <w:jc w:val="center"/>
        <w:tblCellMar>
          <w:left w:w="70" w:type="dxa"/>
          <w:right w:w="70" w:type="dxa"/>
        </w:tblCellMar>
        <w:tblLook w:val="04A0" w:firstRow="1" w:lastRow="0" w:firstColumn="1" w:lastColumn="0" w:noHBand="0" w:noVBand="1"/>
      </w:tblPr>
      <w:tblGrid>
        <w:gridCol w:w="2426"/>
        <w:gridCol w:w="940"/>
        <w:gridCol w:w="2127"/>
        <w:gridCol w:w="1449"/>
      </w:tblGrid>
      <w:tr w:rsidR="0015443A" w:rsidRPr="008C0D76" w14:paraId="743FDFE0" w14:textId="77777777" w:rsidTr="004D2588">
        <w:trPr>
          <w:trHeight w:val="315"/>
          <w:jc w:val="center"/>
        </w:trPr>
        <w:tc>
          <w:tcPr>
            <w:tcW w:w="6942" w:type="dxa"/>
            <w:gridSpan w:val="4"/>
            <w:tcBorders>
              <w:top w:val="single" w:sz="8" w:space="0" w:color="auto"/>
              <w:left w:val="single" w:sz="8" w:space="0" w:color="auto"/>
              <w:bottom w:val="single" w:sz="8" w:space="0" w:color="auto"/>
              <w:right w:val="single" w:sz="8" w:space="0" w:color="000000"/>
            </w:tcBorders>
            <w:noWrap/>
            <w:vAlign w:val="bottom"/>
            <w:hideMark/>
          </w:tcPr>
          <w:p w14:paraId="564A1CCE" w14:textId="24460FE0" w:rsidR="0015443A" w:rsidRPr="008C0D76" w:rsidRDefault="0015443A" w:rsidP="0015443A">
            <w:pPr>
              <w:spacing w:after="0" w:line="240" w:lineRule="auto"/>
              <w:ind w:right="0"/>
              <w:jc w:val="center"/>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Empleo generado</w:t>
            </w:r>
          </w:p>
        </w:tc>
      </w:tr>
      <w:tr w:rsidR="0015443A" w:rsidRPr="008C0D76" w14:paraId="300F9B8F" w14:textId="77777777" w:rsidTr="004D2588">
        <w:trPr>
          <w:trHeight w:val="289"/>
          <w:jc w:val="center"/>
        </w:trPr>
        <w:tc>
          <w:tcPr>
            <w:tcW w:w="2426" w:type="dxa"/>
            <w:tcBorders>
              <w:top w:val="single" w:sz="4" w:space="0" w:color="auto"/>
              <w:left w:val="single" w:sz="4" w:space="0" w:color="auto"/>
              <w:bottom w:val="single" w:sz="4" w:space="0" w:color="auto"/>
              <w:right w:val="nil"/>
            </w:tcBorders>
            <w:noWrap/>
            <w:vAlign w:val="bottom"/>
            <w:hideMark/>
          </w:tcPr>
          <w:p w14:paraId="517C9ACC" w14:textId="77777777" w:rsidR="0015443A" w:rsidRPr="008C0D76" w:rsidRDefault="0015443A" w:rsidP="0015443A">
            <w:pPr>
              <w:spacing w:after="0" w:line="240" w:lineRule="auto"/>
              <w:ind w:right="0"/>
              <w:jc w:val="center"/>
              <w:rPr>
                <w:rFonts w:asciiTheme="majorHAnsi" w:eastAsia="Times New Roman" w:hAnsiTheme="majorHAnsi"/>
                <w:b/>
                <w:bCs/>
                <w:szCs w:val="22"/>
                <w:lang w:val="es-CO" w:eastAsia="es-CO"/>
              </w:rPr>
            </w:pPr>
          </w:p>
        </w:tc>
        <w:tc>
          <w:tcPr>
            <w:tcW w:w="940" w:type="dxa"/>
            <w:tcBorders>
              <w:top w:val="nil"/>
              <w:left w:val="single" w:sz="4" w:space="0" w:color="auto"/>
              <w:bottom w:val="single" w:sz="4" w:space="0" w:color="auto"/>
              <w:right w:val="single" w:sz="4" w:space="0" w:color="auto"/>
            </w:tcBorders>
            <w:vAlign w:val="center"/>
            <w:hideMark/>
          </w:tcPr>
          <w:p w14:paraId="344B58DB"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Cantidad</w:t>
            </w:r>
          </w:p>
        </w:tc>
        <w:tc>
          <w:tcPr>
            <w:tcW w:w="2127" w:type="dxa"/>
            <w:tcBorders>
              <w:top w:val="nil"/>
              <w:left w:val="nil"/>
              <w:bottom w:val="single" w:sz="4" w:space="0" w:color="auto"/>
              <w:right w:val="single" w:sz="4" w:space="0" w:color="auto"/>
            </w:tcBorders>
            <w:vAlign w:val="center"/>
            <w:hideMark/>
          </w:tcPr>
          <w:p w14:paraId="499C8DBE" w14:textId="308DEFC5"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Jornales</w:t>
            </w:r>
            <w:r w:rsidR="00AB4AA2" w:rsidRPr="008C0D76">
              <w:rPr>
                <w:rFonts w:asciiTheme="majorHAnsi" w:eastAsia="Times New Roman" w:hAnsiTheme="majorHAnsi"/>
                <w:szCs w:val="22"/>
                <w:lang w:val="es-CO" w:eastAsia="es-CO"/>
              </w:rPr>
              <w:t>/Trabajadores</w:t>
            </w:r>
          </w:p>
        </w:tc>
        <w:tc>
          <w:tcPr>
            <w:tcW w:w="1449" w:type="dxa"/>
            <w:tcBorders>
              <w:top w:val="nil"/>
              <w:left w:val="nil"/>
              <w:bottom w:val="single" w:sz="4" w:space="0" w:color="auto"/>
              <w:right w:val="single" w:sz="4" w:space="0" w:color="auto"/>
            </w:tcBorders>
            <w:vAlign w:val="center"/>
            <w:hideMark/>
          </w:tcPr>
          <w:p w14:paraId="15F6971B"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Observaciones</w:t>
            </w:r>
          </w:p>
        </w:tc>
      </w:tr>
      <w:tr w:rsidR="0015443A" w:rsidRPr="008C0D76" w14:paraId="0686B7DF" w14:textId="77777777" w:rsidTr="004D2588">
        <w:trPr>
          <w:trHeight w:val="300"/>
          <w:jc w:val="center"/>
        </w:trPr>
        <w:tc>
          <w:tcPr>
            <w:tcW w:w="2426" w:type="dxa"/>
            <w:tcBorders>
              <w:top w:val="single" w:sz="4" w:space="0" w:color="auto"/>
              <w:left w:val="single" w:sz="4" w:space="0" w:color="auto"/>
              <w:bottom w:val="single" w:sz="4" w:space="0" w:color="auto"/>
              <w:right w:val="single" w:sz="4" w:space="0" w:color="auto"/>
            </w:tcBorders>
            <w:noWrap/>
            <w:vAlign w:val="center"/>
            <w:hideMark/>
          </w:tcPr>
          <w:p w14:paraId="61CF91FE" w14:textId="77777777" w:rsidR="0015443A" w:rsidRPr="008C0D76" w:rsidRDefault="0015443A" w:rsidP="0015443A">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1. Empleos Directos</w:t>
            </w:r>
          </w:p>
        </w:tc>
        <w:tc>
          <w:tcPr>
            <w:tcW w:w="940" w:type="dxa"/>
            <w:tcBorders>
              <w:top w:val="nil"/>
              <w:left w:val="nil"/>
              <w:bottom w:val="single" w:sz="4" w:space="0" w:color="auto"/>
              <w:right w:val="single" w:sz="4" w:space="0" w:color="auto"/>
            </w:tcBorders>
            <w:vAlign w:val="center"/>
            <w:hideMark/>
          </w:tcPr>
          <w:p w14:paraId="73209D54"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2127" w:type="dxa"/>
            <w:tcBorders>
              <w:top w:val="nil"/>
              <w:left w:val="nil"/>
              <w:bottom w:val="single" w:sz="4" w:space="0" w:color="auto"/>
              <w:right w:val="single" w:sz="4" w:space="0" w:color="auto"/>
            </w:tcBorders>
            <w:vAlign w:val="center"/>
            <w:hideMark/>
          </w:tcPr>
          <w:p w14:paraId="45409A79"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449" w:type="dxa"/>
            <w:tcBorders>
              <w:top w:val="nil"/>
              <w:left w:val="nil"/>
              <w:bottom w:val="single" w:sz="4" w:space="0" w:color="auto"/>
              <w:right w:val="single" w:sz="4" w:space="0" w:color="auto"/>
            </w:tcBorders>
            <w:vAlign w:val="center"/>
            <w:hideMark/>
          </w:tcPr>
          <w:p w14:paraId="5A72F0A4" w14:textId="77777777" w:rsidR="0015443A" w:rsidRPr="008C0D76" w:rsidRDefault="0015443A" w:rsidP="00AB4AA2">
            <w:pPr>
              <w:spacing w:after="0" w:line="240" w:lineRule="auto"/>
              <w:ind w:right="0"/>
              <w:jc w:val="right"/>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15443A" w:rsidRPr="008C0D76" w14:paraId="7C31A173" w14:textId="77777777" w:rsidTr="004D2588">
        <w:trPr>
          <w:trHeight w:val="289"/>
          <w:jc w:val="center"/>
        </w:trPr>
        <w:tc>
          <w:tcPr>
            <w:tcW w:w="2426" w:type="dxa"/>
            <w:tcBorders>
              <w:top w:val="nil"/>
              <w:left w:val="single" w:sz="4" w:space="0" w:color="auto"/>
              <w:bottom w:val="single" w:sz="4" w:space="0" w:color="auto"/>
              <w:right w:val="single" w:sz="4" w:space="0" w:color="auto"/>
            </w:tcBorders>
            <w:noWrap/>
            <w:vAlign w:val="center"/>
            <w:hideMark/>
          </w:tcPr>
          <w:p w14:paraId="56B79BA5" w14:textId="77777777" w:rsidR="0015443A" w:rsidRPr="008C0D76" w:rsidRDefault="0015443A" w:rsidP="0015443A">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xml:space="preserve">1. Empleos Indirectos </w:t>
            </w:r>
          </w:p>
        </w:tc>
        <w:tc>
          <w:tcPr>
            <w:tcW w:w="940" w:type="dxa"/>
            <w:tcBorders>
              <w:top w:val="nil"/>
              <w:left w:val="nil"/>
              <w:bottom w:val="single" w:sz="4" w:space="0" w:color="auto"/>
              <w:right w:val="single" w:sz="4" w:space="0" w:color="auto"/>
            </w:tcBorders>
            <w:vAlign w:val="center"/>
            <w:hideMark/>
          </w:tcPr>
          <w:p w14:paraId="5CDAF18A"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2127" w:type="dxa"/>
            <w:tcBorders>
              <w:top w:val="nil"/>
              <w:left w:val="nil"/>
              <w:bottom w:val="single" w:sz="4" w:space="0" w:color="auto"/>
              <w:right w:val="single" w:sz="4" w:space="0" w:color="auto"/>
            </w:tcBorders>
            <w:vAlign w:val="center"/>
            <w:hideMark/>
          </w:tcPr>
          <w:p w14:paraId="56712ADA"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449" w:type="dxa"/>
            <w:tcBorders>
              <w:top w:val="nil"/>
              <w:left w:val="nil"/>
              <w:bottom w:val="single" w:sz="4" w:space="0" w:color="auto"/>
              <w:right w:val="single" w:sz="4" w:space="0" w:color="auto"/>
            </w:tcBorders>
            <w:vAlign w:val="center"/>
            <w:hideMark/>
          </w:tcPr>
          <w:p w14:paraId="4E85C05D"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bl>
    <w:p w14:paraId="4F7E5B14" w14:textId="629369E4" w:rsidR="004D2588" w:rsidRPr="008C0D76" w:rsidRDefault="004D2588" w:rsidP="00955648">
      <w:pPr>
        <w:jc w:val="both"/>
        <w:rPr>
          <w:rFonts w:asciiTheme="majorHAnsi" w:hAnsiTheme="majorHAnsi" w:cstheme="majorHAnsi"/>
          <w:lang w:val="es-CO"/>
        </w:rPr>
      </w:pPr>
      <w:r>
        <w:rPr>
          <w:rFonts w:asciiTheme="majorHAnsi" w:hAnsiTheme="majorHAnsi" w:cstheme="majorHAnsi"/>
          <w:lang w:val="es-CO"/>
        </w:rPr>
        <w:t>Fuente: elaboración propia</w:t>
      </w:r>
    </w:p>
    <w:p w14:paraId="35F3A96A" w14:textId="1020F8F0" w:rsidR="0015443A" w:rsidRPr="008C0D76" w:rsidRDefault="00A01A93" w:rsidP="00955648">
      <w:pPr>
        <w:jc w:val="both"/>
        <w:rPr>
          <w:rFonts w:asciiTheme="majorHAnsi" w:hAnsiTheme="majorHAnsi" w:cstheme="majorHAnsi"/>
          <w:lang w:val="es-CO"/>
        </w:rPr>
      </w:pPr>
      <w:bookmarkStart w:id="10" w:name="_Toc217566000"/>
      <w:r w:rsidRPr="008C0D76">
        <w:rPr>
          <w:rFonts w:asciiTheme="majorHAnsi" w:hAnsiTheme="majorHAnsi" w:cstheme="majorHAnsi"/>
          <w:lang w:val="es-CO"/>
        </w:rPr>
        <w:t xml:space="preserve">Tabla </w:t>
      </w:r>
      <w:r w:rsidRPr="008C0D76">
        <w:rPr>
          <w:rFonts w:asciiTheme="majorHAnsi" w:hAnsiTheme="majorHAnsi" w:cstheme="majorHAnsi"/>
          <w:lang w:val="es-CO"/>
        </w:rPr>
        <w:fldChar w:fldCharType="begin"/>
      </w:r>
      <w:r w:rsidRPr="008C0D76">
        <w:rPr>
          <w:rFonts w:asciiTheme="majorHAnsi" w:hAnsiTheme="majorHAnsi" w:cstheme="majorHAnsi"/>
          <w:lang w:val="es-CO"/>
        </w:rPr>
        <w:instrText xml:space="preserve"> SEQ Tabla \* ARABIC </w:instrText>
      </w:r>
      <w:r w:rsidRPr="008C0D76">
        <w:rPr>
          <w:rFonts w:asciiTheme="majorHAnsi" w:hAnsiTheme="majorHAnsi" w:cstheme="majorHAnsi"/>
          <w:lang w:val="es-CO"/>
        </w:rPr>
        <w:fldChar w:fldCharType="separate"/>
      </w:r>
      <w:r w:rsidR="00AB4AA2" w:rsidRPr="008C0D76">
        <w:rPr>
          <w:rFonts w:asciiTheme="majorHAnsi" w:hAnsiTheme="majorHAnsi" w:cstheme="majorHAnsi"/>
          <w:noProof/>
          <w:lang w:val="es-CO"/>
        </w:rPr>
        <w:t>5</w:t>
      </w:r>
      <w:r w:rsidRPr="008C0D76">
        <w:rPr>
          <w:rFonts w:asciiTheme="majorHAnsi" w:hAnsiTheme="majorHAnsi" w:cstheme="majorHAnsi"/>
          <w:lang w:val="es-CO"/>
        </w:rPr>
        <w:fldChar w:fldCharType="end"/>
      </w:r>
      <w:r w:rsidRPr="008C0D76">
        <w:rPr>
          <w:rFonts w:asciiTheme="majorHAnsi" w:hAnsiTheme="majorHAnsi" w:cstheme="majorHAnsi"/>
          <w:lang w:val="es-CO"/>
        </w:rPr>
        <w:t>. Cuestionario sobre ingresos</w:t>
      </w:r>
      <w:bookmarkEnd w:id="10"/>
      <w:r w:rsidRPr="008C0D76">
        <w:rPr>
          <w:rFonts w:asciiTheme="majorHAnsi" w:hAnsiTheme="majorHAnsi" w:cstheme="majorHAnsi"/>
          <w:lang w:val="es-CO"/>
        </w:rPr>
        <w:t xml:space="preserve"> </w:t>
      </w:r>
    </w:p>
    <w:tbl>
      <w:tblPr>
        <w:tblW w:w="5660" w:type="dxa"/>
        <w:jc w:val="center"/>
        <w:tblCellMar>
          <w:left w:w="70" w:type="dxa"/>
          <w:right w:w="70" w:type="dxa"/>
        </w:tblCellMar>
        <w:tblLook w:val="04A0" w:firstRow="1" w:lastRow="0" w:firstColumn="1" w:lastColumn="0" w:noHBand="0" w:noVBand="1"/>
      </w:tblPr>
      <w:tblGrid>
        <w:gridCol w:w="907"/>
        <w:gridCol w:w="1479"/>
        <w:gridCol w:w="1702"/>
        <w:gridCol w:w="1572"/>
      </w:tblGrid>
      <w:tr w:rsidR="0015443A" w:rsidRPr="008C0D76" w14:paraId="14E12F18" w14:textId="77777777" w:rsidTr="00AB4AA2">
        <w:trPr>
          <w:trHeight w:val="315"/>
          <w:jc w:val="center"/>
        </w:trPr>
        <w:tc>
          <w:tcPr>
            <w:tcW w:w="5660" w:type="dxa"/>
            <w:gridSpan w:val="4"/>
            <w:tcBorders>
              <w:top w:val="single" w:sz="8" w:space="0" w:color="auto"/>
              <w:left w:val="single" w:sz="8" w:space="0" w:color="auto"/>
              <w:bottom w:val="single" w:sz="8" w:space="0" w:color="auto"/>
              <w:right w:val="single" w:sz="8" w:space="0" w:color="000000"/>
            </w:tcBorders>
            <w:noWrap/>
            <w:vAlign w:val="bottom"/>
            <w:hideMark/>
          </w:tcPr>
          <w:p w14:paraId="2296F928" w14:textId="6D88D8D7" w:rsidR="0015443A" w:rsidRPr="008C0D76" w:rsidRDefault="0015443A" w:rsidP="0015443A">
            <w:pPr>
              <w:spacing w:after="0" w:line="240" w:lineRule="auto"/>
              <w:ind w:right="0"/>
              <w:jc w:val="center"/>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Ingresos generados</w:t>
            </w:r>
          </w:p>
        </w:tc>
      </w:tr>
      <w:tr w:rsidR="0015443A" w:rsidRPr="008C0D76" w14:paraId="52BA164F" w14:textId="77777777" w:rsidTr="00AB4AA2">
        <w:trPr>
          <w:trHeight w:val="289"/>
          <w:jc w:val="center"/>
        </w:trPr>
        <w:tc>
          <w:tcPr>
            <w:tcW w:w="907" w:type="dxa"/>
            <w:tcBorders>
              <w:top w:val="single" w:sz="4" w:space="0" w:color="auto"/>
              <w:left w:val="single" w:sz="4" w:space="0" w:color="auto"/>
              <w:bottom w:val="single" w:sz="4" w:space="0" w:color="auto"/>
              <w:right w:val="nil"/>
            </w:tcBorders>
            <w:noWrap/>
            <w:vAlign w:val="bottom"/>
            <w:hideMark/>
          </w:tcPr>
          <w:p w14:paraId="1DD85F76" w14:textId="77777777" w:rsidR="0015443A" w:rsidRPr="008C0D76" w:rsidRDefault="0015443A" w:rsidP="0015443A">
            <w:pPr>
              <w:spacing w:after="0" w:line="240" w:lineRule="auto"/>
              <w:ind w:right="0"/>
              <w:jc w:val="center"/>
              <w:rPr>
                <w:rFonts w:asciiTheme="majorHAnsi" w:eastAsia="Times New Roman" w:hAnsiTheme="majorHAnsi"/>
                <w:b/>
                <w:bCs/>
                <w:szCs w:val="22"/>
                <w:lang w:val="es-CO" w:eastAsia="es-CO"/>
              </w:rPr>
            </w:pPr>
          </w:p>
        </w:tc>
        <w:tc>
          <w:tcPr>
            <w:tcW w:w="1479" w:type="dxa"/>
            <w:tcBorders>
              <w:top w:val="nil"/>
              <w:left w:val="single" w:sz="4" w:space="0" w:color="auto"/>
              <w:bottom w:val="single" w:sz="4" w:space="0" w:color="auto"/>
              <w:right w:val="single" w:sz="4" w:space="0" w:color="auto"/>
            </w:tcBorders>
            <w:vAlign w:val="center"/>
            <w:hideMark/>
          </w:tcPr>
          <w:p w14:paraId="10D2E263"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Precio</w:t>
            </w:r>
          </w:p>
        </w:tc>
        <w:tc>
          <w:tcPr>
            <w:tcW w:w="1702" w:type="dxa"/>
            <w:tcBorders>
              <w:top w:val="nil"/>
              <w:left w:val="nil"/>
              <w:bottom w:val="single" w:sz="4" w:space="0" w:color="auto"/>
              <w:right w:val="single" w:sz="4" w:space="0" w:color="auto"/>
            </w:tcBorders>
            <w:vAlign w:val="center"/>
            <w:hideMark/>
          </w:tcPr>
          <w:p w14:paraId="0543A7C1"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Cantidad</w:t>
            </w:r>
          </w:p>
        </w:tc>
        <w:tc>
          <w:tcPr>
            <w:tcW w:w="1572" w:type="dxa"/>
            <w:tcBorders>
              <w:top w:val="nil"/>
              <w:left w:val="nil"/>
              <w:bottom w:val="single" w:sz="4" w:space="0" w:color="auto"/>
              <w:right w:val="single" w:sz="4" w:space="0" w:color="auto"/>
            </w:tcBorders>
            <w:vAlign w:val="center"/>
            <w:hideMark/>
          </w:tcPr>
          <w:p w14:paraId="0F87404A"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Ingreso</w:t>
            </w:r>
          </w:p>
        </w:tc>
      </w:tr>
      <w:tr w:rsidR="0015443A" w:rsidRPr="008C0D76" w14:paraId="53CBA3CD" w14:textId="77777777" w:rsidTr="00AB4AA2">
        <w:trPr>
          <w:trHeight w:val="300"/>
          <w:jc w:val="center"/>
        </w:trPr>
        <w:tc>
          <w:tcPr>
            <w:tcW w:w="907" w:type="dxa"/>
            <w:tcBorders>
              <w:top w:val="single" w:sz="4" w:space="0" w:color="auto"/>
              <w:left w:val="single" w:sz="4" w:space="0" w:color="auto"/>
              <w:bottom w:val="single" w:sz="4" w:space="0" w:color="auto"/>
              <w:right w:val="single" w:sz="4" w:space="0" w:color="auto"/>
            </w:tcBorders>
            <w:noWrap/>
            <w:vAlign w:val="center"/>
            <w:hideMark/>
          </w:tcPr>
          <w:p w14:paraId="47F6B877"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2025</w:t>
            </w:r>
          </w:p>
        </w:tc>
        <w:tc>
          <w:tcPr>
            <w:tcW w:w="1479" w:type="dxa"/>
            <w:tcBorders>
              <w:top w:val="nil"/>
              <w:left w:val="nil"/>
              <w:bottom w:val="single" w:sz="4" w:space="0" w:color="auto"/>
              <w:right w:val="single" w:sz="4" w:space="0" w:color="auto"/>
            </w:tcBorders>
            <w:vAlign w:val="center"/>
            <w:hideMark/>
          </w:tcPr>
          <w:p w14:paraId="5F0F94A1"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02" w:type="dxa"/>
            <w:tcBorders>
              <w:top w:val="nil"/>
              <w:left w:val="nil"/>
              <w:bottom w:val="single" w:sz="4" w:space="0" w:color="auto"/>
              <w:right w:val="single" w:sz="4" w:space="0" w:color="auto"/>
            </w:tcBorders>
            <w:vAlign w:val="center"/>
            <w:hideMark/>
          </w:tcPr>
          <w:p w14:paraId="73C5D7CD"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572" w:type="dxa"/>
            <w:tcBorders>
              <w:top w:val="nil"/>
              <w:left w:val="nil"/>
              <w:bottom w:val="single" w:sz="4" w:space="0" w:color="auto"/>
              <w:right w:val="single" w:sz="4" w:space="0" w:color="auto"/>
            </w:tcBorders>
            <w:vAlign w:val="center"/>
            <w:hideMark/>
          </w:tcPr>
          <w:p w14:paraId="07F4C238"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15443A" w:rsidRPr="008C0D76" w14:paraId="3E82E5F7" w14:textId="77777777" w:rsidTr="00AB4AA2">
        <w:trPr>
          <w:trHeight w:val="289"/>
          <w:jc w:val="center"/>
        </w:trPr>
        <w:tc>
          <w:tcPr>
            <w:tcW w:w="907" w:type="dxa"/>
            <w:tcBorders>
              <w:top w:val="nil"/>
              <w:left w:val="single" w:sz="4" w:space="0" w:color="auto"/>
              <w:bottom w:val="single" w:sz="4" w:space="0" w:color="auto"/>
              <w:right w:val="single" w:sz="4" w:space="0" w:color="auto"/>
            </w:tcBorders>
            <w:noWrap/>
            <w:vAlign w:val="center"/>
            <w:hideMark/>
          </w:tcPr>
          <w:p w14:paraId="4657D7EC"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2024</w:t>
            </w:r>
          </w:p>
        </w:tc>
        <w:tc>
          <w:tcPr>
            <w:tcW w:w="1479" w:type="dxa"/>
            <w:tcBorders>
              <w:top w:val="nil"/>
              <w:left w:val="nil"/>
              <w:bottom w:val="single" w:sz="4" w:space="0" w:color="auto"/>
              <w:right w:val="single" w:sz="4" w:space="0" w:color="auto"/>
            </w:tcBorders>
            <w:vAlign w:val="center"/>
            <w:hideMark/>
          </w:tcPr>
          <w:p w14:paraId="33035A84"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02" w:type="dxa"/>
            <w:tcBorders>
              <w:top w:val="nil"/>
              <w:left w:val="nil"/>
              <w:bottom w:val="single" w:sz="4" w:space="0" w:color="auto"/>
              <w:right w:val="single" w:sz="4" w:space="0" w:color="auto"/>
            </w:tcBorders>
            <w:vAlign w:val="center"/>
            <w:hideMark/>
          </w:tcPr>
          <w:p w14:paraId="22B4555E"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572" w:type="dxa"/>
            <w:tcBorders>
              <w:top w:val="nil"/>
              <w:left w:val="nil"/>
              <w:bottom w:val="single" w:sz="4" w:space="0" w:color="auto"/>
              <w:right w:val="single" w:sz="4" w:space="0" w:color="auto"/>
            </w:tcBorders>
            <w:vAlign w:val="center"/>
            <w:hideMark/>
          </w:tcPr>
          <w:p w14:paraId="7B3BC1B3"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15443A" w:rsidRPr="008C0D76" w14:paraId="76A4700D" w14:textId="77777777" w:rsidTr="00AB4AA2">
        <w:trPr>
          <w:trHeight w:val="289"/>
          <w:jc w:val="center"/>
        </w:trPr>
        <w:tc>
          <w:tcPr>
            <w:tcW w:w="907" w:type="dxa"/>
            <w:tcBorders>
              <w:top w:val="nil"/>
              <w:left w:val="single" w:sz="4" w:space="0" w:color="auto"/>
              <w:bottom w:val="single" w:sz="4" w:space="0" w:color="auto"/>
              <w:right w:val="single" w:sz="4" w:space="0" w:color="auto"/>
            </w:tcBorders>
            <w:noWrap/>
            <w:vAlign w:val="center"/>
            <w:hideMark/>
          </w:tcPr>
          <w:p w14:paraId="3EBD0AF9"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2023</w:t>
            </w:r>
          </w:p>
        </w:tc>
        <w:tc>
          <w:tcPr>
            <w:tcW w:w="1479" w:type="dxa"/>
            <w:tcBorders>
              <w:top w:val="nil"/>
              <w:left w:val="nil"/>
              <w:bottom w:val="single" w:sz="4" w:space="0" w:color="auto"/>
              <w:right w:val="single" w:sz="4" w:space="0" w:color="auto"/>
            </w:tcBorders>
            <w:vAlign w:val="center"/>
            <w:hideMark/>
          </w:tcPr>
          <w:p w14:paraId="755ACEEA"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702" w:type="dxa"/>
            <w:tcBorders>
              <w:top w:val="nil"/>
              <w:left w:val="nil"/>
              <w:bottom w:val="single" w:sz="4" w:space="0" w:color="auto"/>
              <w:right w:val="single" w:sz="4" w:space="0" w:color="auto"/>
            </w:tcBorders>
            <w:vAlign w:val="center"/>
            <w:hideMark/>
          </w:tcPr>
          <w:p w14:paraId="37C0ECC1"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c>
          <w:tcPr>
            <w:tcW w:w="1572" w:type="dxa"/>
            <w:tcBorders>
              <w:top w:val="nil"/>
              <w:left w:val="nil"/>
              <w:bottom w:val="single" w:sz="4" w:space="0" w:color="auto"/>
              <w:right w:val="single" w:sz="4" w:space="0" w:color="auto"/>
            </w:tcBorders>
            <w:vAlign w:val="center"/>
            <w:hideMark/>
          </w:tcPr>
          <w:p w14:paraId="7F478ACA"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 </w:t>
            </w:r>
          </w:p>
        </w:tc>
      </w:tr>
      <w:tr w:rsidR="0015443A" w:rsidRPr="008C0D76" w14:paraId="6605DB93" w14:textId="77777777" w:rsidTr="00AB4AA2">
        <w:trPr>
          <w:trHeight w:val="289"/>
          <w:jc w:val="center"/>
        </w:trPr>
        <w:tc>
          <w:tcPr>
            <w:tcW w:w="907" w:type="dxa"/>
            <w:tcBorders>
              <w:top w:val="nil"/>
              <w:left w:val="single" w:sz="4" w:space="0" w:color="auto"/>
              <w:bottom w:val="single" w:sz="4" w:space="0" w:color="auto"/>
              <w:right w:val="single" w:sz="4" w:space="0" w:color="auto"/>
            </w:tcBorders>
            <w:noWrap/>
            <w:vAlign w:val="center"/>
            <w:hideMark/>
          </w:tcPr>
          <w:p w14:paraId="1D6B888D" w14:textId="77777777" w:rsidR="0015443A" w:rsidRPr="008C0D76" w:rsidRDefault="0015443A" w:rsidP="0015443A">
            <w:pPr>
              <w:spacing w:after="0" w:line="240" w:lineRule="auto"/>
              <w:ind w:right="0"/>
              <w:rPr>
                <w:rFonts w:asciiTheme="majorHAnsi" w:eastAsia="Times New Roman" w:hAnsiTheme="majorHAnsi"/>
                <w:szCs w:val="22"/>
                <w:lang w:val="es-CO" w:eastAsia="es-CO"/>
              </w:rPr>
            </w:pPr>
            <w:r w:rsidRPr="008C0D76">
              <w:rPr>
                <w:rFonts w:asciiTheme="majorHAnsi" w:eastAsia="Times New Roman" w:hAnsiTheme="majorHAnsi"/>
                <w:szCs w:val="22"/>
                <w:lang w:val="es-CO" w:eastAsia="es-CO"/>
              </w:rPr>
              <w:t>2022</w:t>
            </w:r>
          </w:p>
        </w:tc>
        <w:tc>
          <w:tcPr>
            <w:tcW w:w="1479" w:type="dxa"/>
            <w:tcBorders>
              <w:top w:val="nil"/>
              <w:left w:val="nil"/>
              <w:bottom w:val="single" w:sz="4" w:space="0" w:color="auto"/>
              <w:right w:val="single" w:sz="4" w:space="0" w:color="auto"/>
            </w:tcBorders>
            <w:noWrap/>
            <w:vAlign w:val="bottom"/>
            <w:hideMark/>
          </w:tcPr>
          <w:p w14:paraId="41625D5E" w14:textId="77777777" w:rsidR="0015443A" w:rsidRPr="008C0D76" w:rsidRDefault="0015443A" w:rsidP="0015443A">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702" w:type="dxa"/>
            <w:tcBorders>
              <w:top w:val="nil"/>
              <w:left w:val="nil"/>
              <w:bottom w:val="single" w:sz="4" w:space="0" w:color="auto"/>
              <w:right w:val="single" w:sz="4" w:space="0" w:color="auto"/>
            </w:tcBorders>
            <w:noWrap/>
            <w:vAlign w:val="bottom"/>
            <w:hideMark/>
          </w:tcPr>
          <w:p w14:paraId="75A4B84F" w14:textId="77777777" w:rsidR="0015443A" w:rsidRPr="008C0D76" w:rsidRDefault="0015443A" w:rsidP="0015443A">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c>
          <w:tcPr>
            <w:tcW w:w="1572" w:type="dxa"/>
            <w:tcBorders>
              <w:top w:val="nil"/>
              <w:left w:val="nil"/>
              <w:bottom w:val="single" w:sz="4" w:space="0" w:color="auto"/>
              <w:right w:val="single" w:sz="4" w:space="0" w:color="auto"/>
            </w:tcBorders>
            <w:noWrap/>
            <w:vAlign w:val="bottom"/>
            <w:hideMark/>
          </w:tcPr>
          <w:p w14:paraId="4B3FB4BF" w14:textId="77777777" w:rsidR="0015443A" w:rsidRPr="008C0D76" w:rsidRDefault="0015443A" w:rsidP="0015443A">
            <w:pPr>
              <w:spacing w:after="0" w:line="240" w:lineRule="auto"/>
              <w:ind w:right="0"/>
              <w:rPr>
                <w:rFonts w:asciiTheme="majorHAnsi" w:eastAsia="Times New Roman" w:hAnsiTheme="majorHAnsi"/>
                <w:b/>
                <w:bCs/>
                <w:szCs w:val="22"/>
                <w:lang w:val="es-CO" w:eastAsia="es-CO"/>
              </w:rPr>
            </w:pPr>
            <w:r w:rsidRPr="008C0D76">
              <w:rPr>
                <w:rFonts w:asciiTheme="majorHAnsi" w:eastAsia="Times New Roman" w:hAnsiTheme="majorHAnsi"/>
                <w:b/>
                <w:bCs/>
                <w:szCs w:val="22"/>
                <w:lang w:val="es-CO" w:eastAsia="es-CO"/>
              </w:rPr>
              <w:t> </w:t>
            </w:r>
          </w:p>
        </w:tc>
      </w:tr>
    </w:tbl>
    <w:p w14:paraId="43FF2A66" w14:textId="4C52471D" w:rsidR="0015443A" w:rsidRPr="008C0D76" w:rsidRDefault="004D2588" w:rsidP="00955648">
      <w:pPr>
        <w:jc w:val="both"/>
        <w:rPr>
          <w:rFonts w:asciiTheme="majorHAnsi" w:hAnsiTheme="majorHAnsi" w:cstheme="majorHAnsi"/>
          <w:lang w:val="es-CO"/>
        </w:rPr>
      </w:pPr>
      <w:r>
        <w:rPr>
          <w:rFonts w:asciiTheme="majorHAnsi" w:hAnsiTheme="majorHAnsi" w:cstheme="majorHAnsi"/>
          <w:lang w:val="es-CO"/>
        </w:rPr>
        <w:t>Fuente: elaboración propia</w:t>
      </w:r>
    </w:p>
    <w:p w14:paraId="3FD97868" w14:textId="0B7F03F9" w:rsidR="00AB4AA2" w:rsidRPr="00AB4AA2" w:rsidRDefault="00AB4AA2" w:rsidP="00AB4AA2">
      <w:pPr>
        <w:jc w:val="both"/>
        <w:rPr>
          <w:rFonts w:asciiTheme="majorHAnsi" w:hAnsiTheme="majorHAnsi" w:cstheme="majorHAnsi"/>
          <w:lang w:val="es-CO"/>
        </w:rPr>
      </w:pPr>
      <w:r w:rsidRPr="008C0D76">
        <w:rPr>
          <w:rFonts w:asciiTheme="majorHAnsi" w:hAnsiTheme="majorHAnsi" w:cstheme="majorHAnsi"/>
          <w:lang w:val="es-CO"/>
        </w:rPr>
        <w:t>El análisis de la cadena de valor de la yuca se centró en sus dos eslabones principales: el primero, la producció</w:t>
      </w:r>
      <w:r w:rsidRPr="00AB4AA2">
        <w:rPr>
          <w:rFonts w:asciiTheme="majorHAnsi" w:hAnsiTheme="majorHAnsi" w:cstheme="majorHAnsi"/>
          <w:lang w:val="es-CO"/>
        </w:rPr>
        <w:t>n, que abarca todas las etapas desde la siembra hasta la cosecha y el transporte de la yuca al punto de transformación; y el segundo, la transformación de las raíces de yuca en almidón.</w:t>
      </w:r>
    </w:p>
    <w:p w14:paraId="649AACCF" w14:textId="72730596" w:rsidR="00AB4AA2" w:rsidRPr="00AB4AA2" w:rsidRDefault="00AB4AA2" w:rsidP="00AB4AA2">
      <w:pPr>
        <w:jc w:val="both"/>
        <w:rPr>
          <w:rFonts w:asciiTheme="majorHAnsi" w:hAnsiTheme="majorHAnsi" w:cstheme="majorHAnsi"/>
          <w:lang w:val="es-CO"/>
        </w:rPr>
      </w:pPr>
      <w:r w:rsidRPr="00AB4AA2">
        <w:rPr>
          <w:rFonts w:asciiTheme="majorHAnsi" w:hAnsiTheme="majorHAnsi" w:cstheme="majorHAnsi"/>
          <w:lang w:val="es-CO"/>
        </w:rPr>
        <w:t xml:space="preserve">Este análisis se llevó a cabo principalmente con base en información primaria recolectada directamente en el campo mediante </w:t>
      </w:r>
      <w:r w:rsidR="008C0D76">
        <w:rPr>
          <w:rFonts w:asciiTheme="majorHAnsi" w:hAnsiTheme="majorHAnsi" w:cstheme="majorHAnsi"/>
          <w:lang w:val="es-CO"/>
        </w:rPr>
        <w:t>el</w:t>
      </w:r>
      <w:r w:rsidRPr="00AB4AA2">
        <w:rPr>
          <w:rFonts w:asciiTheme="majorHAnsi" w:hAnsiTheme="majorHAnsi" w:cstheme="majorHAnsi"/>
          <w:lang w:val="es-CO"/>
        </w:rPr>
        <w:t xml:space="preserve"> instrumento de medición, complementado con información secundaria proporcionada por el Ministerio de Agricultura</w:t>
      </w:r>
      <w:r w:rsidR="008E7D4C">
        <w:rPr>
          <w:rFonts w:asciiTheme="majorHAnsi" w:hAnsiTheme="majorHAnsi" w:cstheme="majorHAnsi"/>
          <w:lang w:val="es-CO"/>
        </w:rPr>
        <w:t xml:space="preserve"> </w:t>
      </w:r>
      <w:r w:rsidR="008E7D4C">
        <w:rPr>
          <w:rFonts w:asciiTheme="majorHAnsi" w:hAnsiTheme="majorHAnsi" w:cstheme="majorHAnsi"/>
          <w:lang w:val="es-CO"/>
        </w:rPr>
        <w:fldChar w:fldCharType="begin"/>
      </w:r>
      <w:r w:rsidR="008E7D4C">
        <w:rPr>
          <w:rFonts w:asciiTheme="majorHAnsi" w:hAnsiTheme="majorHAnsi" w:cstheme="majorHAnsi"/>
          <w:lang w:val="es-CO"/>
        </w:rPr>
        <w:instrText xml:space="preserve"> ADDIN ZOTERO_ITEM CSL_CITATION {"citationID":"lEBvrgGN","properties":{"formattedCitation":"(Agronet, 2024)","plainCitation":"(Agronet, 2024)","noteIndex":0},"citationItems":[{"id":1874,"uris":["http://zotero.org/groups/4898838/items/IXPYH57F"],"itemData":{"id":1874,"type":"webpage","container-title":"Agronet MinAgricultura","genre":"Agronet","title":"Reporte: Área, Producción y Rendimiento Nacional por Cultivo","URL":"https://www.agronet.gov.co/estadistica/Paginas/home.aspx?cod=1","author":[{"family":"Agronet","given":""}],"accessed":{"date-parts":[["2025",3,10]]},"issued":{"date-parts":[["2024"]]}}}],"schema":"https://github.com/citation-style-language/schema/raw/master/csl-citation.json"} </w:instrText>
      </w:r>
      <w:r w:rsidR="008E7D4C">
        <w:rPr>
          <w:rFonts w:asciiTheme="majorHAnsi" w:hAnsiTheme="majorHAnsi" w:cstheme="majorHAnsi"/>
          <w:lang w:val="es-CO"/>
        </w:rPr>
        <w:fldChar w:fldCharType="separate"/>
      </w:r>
      <w:r w:rsidR="008E7D4C" w:rsidRPr="008E7D4C">
        <w:rPr>
          <w:rFonts w:cs="Calibri"/>
          <w:lang w:val="es-CO"/>
        </w:rPr>
        <w:t>(Agronet, 2024)</w:t>
      </w:r>
      <w:r w:rsidR="008E7D4C">
        <w:rPr>
          <w:rFonts w:asciiTheme="majorHAnsi" w:hAnsiTheme="majorHAnsi" w:cstheme="majorHAnsi"/>
          <w:lang w:val="es-CO"/>
        </w:rPr>
        <w:fldChar w:fldCharType="end"/>
      </w:r>
      <w:r w:rsidRPr="00AB4AA2">
        <w:rPr>
          <w:rFonts w:asciiTheme="majorHAnsi" w:hAnsiTheme="majorHAnsi" w:cstheme="majorHAnsi"/>
          <w:lang w:val="es-CO"/>
        </w:rPr>
        <w:t>. La recolección de datos en campo se realizó en dos momentos: en 2023 y en 2025.</w:t>
      </w:r>
    </w:p>
    <w:p w14:paraId="6E855F22" w14:textId="1B5825FE" w:rsidR="00F9240D" w:rsidRDefault="00AB4AA2" w:rsidP="00955648">
      <w:pPr>
        <w:jc w:val="both"/>
        <w:rPr>
          <w:rFonts w:asciiTheme="majorHAnsi" w:hAnsiTheme="majorHAnsi" w:cstheme="majorHAnsi"/>
          <w:lang w:val="es-CO"/>
        </w:rPr>
      </w:pPr>
      <w:r w:rsidRPr="00AB4AA2">
        <w:rPr>
          <w:rFonts w:asciiTheme="majorHAnsi" w:hAnsiTheme="majorHAnsi" w:cstheme="majorHAnsi"/>
          <w:lang w:val="es-CO"/>
        </w:rPr>
        <w:t>En 2023, se entrevistaron a varios productores en la región Caribe, específicamente en los departamentos de Córdoba y Sucre, con el fin de analizar sus condiciones económicas. Las entrevistas se llevaron a cabo en mayo. Luego, en septiembre de 2025, se realizó una segunda medición que abarcó tanto el eslabón de la producción de yuca como el de la producción de almidón de yuca</w:t>
      </w:r>
      <w:r>
        <w:rPr>
          <w:rFonts w:asciiTheme="majorHAnsi" w:hAnsiTheme="majorHAnsi" w:cstheme="majorHAnsi"/>
          <w:lang w:val="es-CO"/>
        </w:rPr>
        <w:t xml:space="preserve"> para los dos departamentos</w:t>
      </w:r>
      <w:r w:rsidRPr="00AB4AA2">
        <w:rPr>
          <w:rFonts w:asciiTheme="majorHAnsi" w:hAnsiTheme="majorHAnsi" w:cstheme="majorHAnsi"/>
          <w:lang w:val="es-CO"/>
        </w:rPr>
        <w:t>.</w:t>
      </w:r>
      <w:r w:rsidR="008C0D76">
        <w:rPr>
          <w:rFonts w:asciiTheme="majorHAnsi" w:hAnsiTheme="majorHAnsi" w:cstheme="majorHAnsi"/>
          <w:lang w:val="es-CO"/>
        </w:rPr>
        <w:t xml:space="preserve"> </w:t>
      </w:r>
      <w:r>
        <w:rPr>
          <w:rFonts w:asciiTheme="majorHAnsi" w:hAnsiTheme="majorHAnsi" w:cstheme="majorHAnsi"/>
          <w:lang w:val="es-CO"/>
        </w:rPr>
        <w:t xml:space="preserve">Los actores entrevistados se muestran en la </w:t>
      </w:r>
      <w:r>
        <w:rPr>
          <w:rFonts w:asciiTheme="majorHAnsi" w:hAnsiTheme="majorHAnsi" w:cstheme="majorHAnsi"/>
          <w:lang w:val="es-CO"/>
        </w:rPr>
        <w:fldChar w:fldCharType="begin"/>
      </w:r>
      <w:r>
        <w:rPr>
          <w:rFonts w:asciiTheme="majorHAnsi" w:hAnsiTheme="majorHAnsi" w:cstheme="majorHAnsi"/>
          <w:lang w:val="es-CO"/>
        </w:rPr>
        <w:instrText xml:space="preserve"> REF _Ref215498351 \h </w:instrText>
      </w:r>
      <w:r>
        <w:rPr>
          <w:rFonts w:asciiTheme="majorHAnsi" w:hAnsiTheme="majorHAnsi" w:cstheme="majorHAnsi"/>
          <w:lang w:val="es-CO"/>
        </w:rPr>
      </w:r>
      <w:r>
        <w:rPr>
          <w:rFonts w:asciiTheme="majorHAnsi" w:hAnsiTheme="majorHAnsi" w:cstheme="majorHAnsi"/>
          <w:lang w:val="es-CO"/>
        </w:rPr>
        <w:fldChar w:fldCharType="separate"/>
      </w:r>
      <w:r w:rsidRPr="006E3AE2">
        <w:rPr>
          <w:rFonts w:asciiTheme="majorHAnsi" w:hAnsiTheme="majorHAnsi" w:cstheme="majorHAnsi"/>
          <w:lang w:val="es-CO"/>
        </w:rPr>
        <w:t xml:space="preserve">Tabla </w:t>
      </w:r>
      <w:r>
        <w:rPr>
          <w:rFonts w:asciiTheme="majorHAnsi" w:hAnsiTheme="majorHAnsi" w:cstheme="majorHAnsi"/>
          <w:noProof/>
          <w:lang w:val="es-CO"/>
        </w:rPr>
        <w:t>6</w:t>
      </w:r>
      <w:r>
        <w:rPr>
          <w:rFonts w:asciiTheme="majorHAnsi" w:hAnsiTheme="majorHAnsi" w:cstheme="majorHAnsi"/>
          <w:lang w:val="es-CO"/>
        </w:rPr>
        <w:fldChar w:fldCharType="end"/>
      </w:r>
      <w:r>
        <w:rPr>
          <w:rFonts w:asciiTheme="majorHAnsi" w:hAnsiTheme="majorHAnsi" w:cstheme="majorHAnsi"/>
          <w:lang w:val="es-CO"/>
        </w:rPr>
        <w:t>.</w:t>
      </w:r>
    </w:p>
    <w:p w14:paraId="2EFAF9EE" w14:textId="77777777" w:rsidR="008C0D76" w:rsidRDefault="008C0D76" w:rsidP="008E7D4C">
      <w:pPr>
        <w:rPr>
          <w:rFonts w:asciiTheme="majorHAnsi" w:hAnsiTheme="majorHAnsi" w:cstheme="majorHAnsi"/>
          <w:lang w:val="es-CO"/>
        </w:rPr>
      </w:pPr>
    </w:p>
    <w:p w14:paraId="78913113" w14:textId="77777777" w:rsidR="00AB4AA2" w:rsidRDefault="00AB4AA2" w:rsidP="00AB4AA2">
      <w:pPr>
        <w:jc w:val="both"/>
        <w:rPr>
          <w:rFonts w:asciiTheme="majorHAnsi" w:hAnsiTheme="majorHAnsi" w:cstheme="majorHAnsi"/>
          <w:lang w:val="es-CO"/>
        </w:rPr>
      </w:pPr>
      <w:bookmarkStart w:id="11" w:name="_Ref215498351"/>
      <w:bookmarkStart w:id="12" w:name="_Toc217566001"/>
      <w:r w:rsidRPr="006E3AE2">
        <w:rPr>
          <w:rFonts w:asciiTheme="majorHAnsi" w:hAnsiTheme="majorHAnsi" w:cstheme="majorHAnsi"/>
          <w:lang w:val="es-CO"/>
        </w:rPr>
        <w:lastRenderedPageBreak/>
        <w:t xml:space="preserve">Tabla </w:t>
      </w:r>
      <w:r w:rsidRPr="006E3AE2">
        <w:rPr>
          <w:rFonts w:asciiTheme="majorHAnsi" w:hAnsiTheme="majorHAnsi" w:cstheme="majorHAnsi"/>
          <w:lang w:val="es-CO"/>
        </w:rPr>
        <w:fldChar w:fldCharType="begin"/>
      </w:r>
      <w:r w:rsidRPr="006E3AE2">
        <w:rPr>
          <w:rFonts w:asciiTheme="majorHAnsi" w:hAnsiTheme="majorHAnsi" w:cstheme="majorHAnsi"/>
          <w:lang w:val="es-CO"/>
        </w:rPr>
        <w:instrText xml:space="preserve"> SEQ Tabla \* ARABIC </w:instrText>
      </w:r>
      <w:r w:rsidRPr="006E3AE2">
        <w:rPr>
          <w:rFonts w:asciiTheme="majorHAnsi" w:hAnsiTheme="majorHAnsi" w:cstheme="majorHAnsi"/>
          <w:lang w:val="es-CO"/>
        </w:rPr>
        <w:fldChar w:fldCharType="separate"/>
      </w:r>
      <w:r>
        <w:rPr>
          <w:rFonts w:asciiTheme="majorHAnsi" w:hAnsiTheme="majorHAnsi" w:cstheme="majorHAnsi"/>
          <w:noProof/>
          <w:lang w:val="es-CO"/>
        </w:rPr>
        <w:t>6</w:t>
      </w:r>
      <w:r w:rsidRPr="006E3AE2">
        <w:rPr>
          <w:rFonts w:asciiTheme="majorHAnsi" w:hAnsiTheme="majorHAnsi" w:cstheme="majorHAnsi"/>
          <w:lang w:val="es-CO"/>
        </w:rPr>
        <w:fldChar w:fldCharType="end"/>
      </w:r>
      <w:bookmarkEnd w:id="11"/>
      <w:r w:rsidRPr="006E3AE2">
        <w:rPr>
          <w:rFonts w:asciiTheme="majorHAnsi" w:hAnsiTheme="majorHAnsi" w:cstheme="majorHAnsi"/>
          <w:lang w:val="es-CO"/>
        </w:rPr>
        <w:t>.</w:t>
      </w:r>
      <w:r>
        <w:rPr>
          <w:rFonts w:asciiTheme="majorHAnsi" w:hAnsiTheme="majorHAnsi" w:cstheme="majorHAnsi"/>
          <w:lang w:val="es-CO"/>
        </w:rPr>
        <w:t xml:space="preserve"> Actores entrevistados</w:t>
      </w:r>
      <w:bookmarkEnd w:id="12"/>
    </w:p>
    <w:tbl>
      <w:tblPr>
        <w:tblW w:w="4824" w:type="dxa"/>
        <w:jc w:val="center"/>
        <w:tblCellMar>
          <w:left w:w="70" w:type="dxa"/>
          <w:right w:w="70" w:type="dxa"/>
        </w:tblCellMar>
        <w:tblLook w:val="04A0" w:firstRow="1" w:lastRow="0" w:firstColumn="1" w:lastColumn="0" w:noHBand="0" w:noVBand="1"/>
      </w:tblPr>
      <w:tblGrid>
        <w:gridCol w:w="1643"/>
        <w:gridCol w:w="1479"/>
        <w:gridCol w:w="1702"/>
      </w:tblGrid>
      <w:tr w:rsidR="00AB4AA2" w:rsidRPr="0015443A" w14:paraId="2779B4B1" w14:textId="77777777" w:rsidTr="00906236">
        <w:trPr>
          <w:trHeight w:val="289"/>
          <w:jc w:val="center"/>
        </w:trPr>
        <w:tc>
          <w:tcPr>
            <w:tcW w:w="1643" w:type="dxa"/>
            <w:tcBorders>
              <w:top w:val="single" w:sz="4" w:space="0" w:color="auto"/>
              <w:left w:val="single" w:sz="4" w:space="0" w:color="auto"/>
              <w:bottom w:val="single" w:sz="4" w:space="0" w:color="auto"/>
              <w:right w:val="nil"/>
            </w:tcBorders>
            <w:noWrap/>
            <w:vAlign w:val="bottom"/>
            <w:hideMark/>
          </w:tcPr>
          <w:p w14:paraId="75148E0D" w14:textId="77777777" w:rsidR="00AB4AA2" w:rsidRPr="0015443A" w:rsidRDefault="00AB4AA2" w:rsidP="00A17BED">
            <w:pPr>
              <w:spacing w:after="0" w:line="240" w:lineRule="auto"/>
              <w:ind w:right="0"/>
              <w:jc w:val="center"/>
              <w:rPr>
                <w:rFonts w:ascii="Times New Roman" w:eastAsia="Times New Roman" w:hAnsi="Times New Roman"/>
                <w:b/>
                <w:bCs/>
                <w:szCs w:val="22"/>
                <w:lang w:val="es-CO" w:eastAsia="es-CO"/>
              </w:rPr>
            </w:pPr>
          </w:p>
        </w:tc>
        <w:tc>
          <w:tcPr>
            <w:tcW w:w="1479" w:type="dxa"/>
            <w:tcBorders>
              <w:top w:val="single" w:sz="4" w:space="0" w:color="auto"/>
              <w:left w:val="single" w:sz="4" w:space="0" w:color="auto"/>
              <w:bottom w:val="single" w:sz="4" w:space="0" w:color="auto"/>
              <w:right w:val="single" w:sz="4" w:space="0" w:color="auto"/>
            </w:tcBorders>
            <w:vAlign w:val="center"/>
            <w:hideMark/>
          </w:tcPr>
          <w:p w14:paraId="309A7525" w14:textId="77777777" w:rsidR="00AB4AA2" w:rsidRPr="00AB4AA2" w:rsidRDefault="00AB4AA2" w:rsidP="00A17BED">
            <w:pPr>
              <w:spacing w:after="0" w:line="240" w:lineRule="auto"/>
              <w:ind w:right="0"/>
              <w:jc w:val="center"/>
              <w:rPr>
                <w:rFonts w:ascii="Times New Roman" w:eastAsia="Times New Roman" w:hAnsi="Times New Roman"/>
                <w:b/>
                <w:szCs w:val="22"/>
                <w:lang w:val="es-CO" w:eastAsia="es-CO"/>
              </w:rPr>
            </w:pPr>
            <w:r w:rsidRPr="00AB4AA2">
              <w:rPr>
                <w:rFonts w:ascii="Times New Roman" w:eastAsia="Times New Roman" w:hAnsi="Times New Roman"/>
                <w:b/>
                <w:szCs w:val="22"/>
                <w:lang w:val="es-CO" w:eastAsia="es-CO"/>
              </w:rPr>
              <w:t>2023</w:t>
            </w:r>
          </w:p>
        </w:tc>
        <w:tc>
          <w:tcPr>
            <w:tcW w:w="1702" w:type="dxa"/>
            <w:tcBorders>
              <w:top w:val="single" w:sz="4" w:space="0" w:color="auto"/>
              <w:left w:val="nil"/>
              <w:bottom w:val="single" w:sz="4" w:space="0" w:color="auto"/>
              <w:right w:val="single" w:sz="4" w:space="0" w:color="auto"/>
            </w:tcBorders>
            <w:vAlign w:val="center"/>
            <w:hideMark/>
          </w:tcPr>
          <w:p w14:paraId="308CDFFD" w14:textId="77777777" w:rsidR="00AB4AA2" w:rsidRPr="00AB4AA2" w:rsidRDefault="00AB4AA2" w:rsidP="00A17BED">
            <w:pPr>
              <w:spacing w:after="0" w:line="240" w:lineRule="auto"/>
              <w:ind w:right="0"/>
              <w:jc w:val="center"/>
              <w:rPr>
                <w:rFonts w:ascii="Times New Roman" w:eastAsia="Times New Roman" w:hAnsi="Times New Roman"/>
                <w:b/>
                <w:szCs w:val="22"/>
                <w:lang w:val="es-CO" w:eastAsia="es-CO"/>
              </w:rPr>
            </w:pPr>
            <w:r w:rsidRPr="00AB4AA2">
              <w:rPr>
                <w:rFonts w:ascii="Times New Roman" w:eastAsia="Times New Roman" w:hAnsi="Times New Roman"/>
                <w:b/>
                <w:szCs w:val="22"/>
                <w:lang w:val="es-CO" w:eastAsia="es-CO"/>
              </w:rPr>
              <w:t>2025</w:t>
            </w:r>
          </w:p>
        </w:tc>
      </w:tr>
      <w:tr w:rsidR="00AB4AA2" w:rsidRPr="0015443A" w14:paraId="544C2886" w14:textId="77777777" w:rsidTr="00906236">
        <w:trPr>
          <w:trHeight w:val="300"/>
          <w:jc w:val="center"/>
        </w:trPr>
        <w:tc>
          <w:tcPr>
            <w:tcW w:w="1643" w:type="dxa"/>
            <w:tcBorders>
              <w:top w:val="single" w:sz="4" w:space="0" w:color="auto"/>
              <w:left w:val="single" w:sz="4" w:space="0" w:color="auto"/>
              <w:bottom w:val="single" w:sz="4" w:space="0" w:color="auto"/>
              <w:right w:val="single" w:sz="4" w:space="0" w:color="auto"/>
            </w:tcBorders>
            <w:noWrap/>
            <w:vAlign w:val="center"/>
            <w:hideMark/>
          </w:tcPr>
          <w:p w14:paraId="0315C498" w14:textId="77777777" w:rsidR="00AB4AA2" w:rsidRPr="0015443A" w:rsidRDefault="00AB4AA2" w:rsidP="00A17BED">
            <w:pPr>
              <w:spacing w:after="0" w:line="240" w:lineRule="auto"/>
              <w:ind w:right="0"/>
              <w:rPr>
                <w:rFonts w:ascii="Times New Roman" w:eastAsia="Times New Roman" w:hAnsi="Times New Roman"/>
                <w:szCs w:val="22"/>
                <w:lang w:val="es-CO" w:eastAsia="es-CO"/>
              </w:rPr>
            </w:pPr>
            <w:r>
              <w:rPr>
                <w:rFonts w:ascii="Times New Roman" w:eastAsia="Times New Roman" w:hAnsi="Times New Roman"/>
                <w:szCs w:val="22"/>
                <w:lang w:val="es-CO" w:eastAsia="es-CO"/>
              </w:rPr>
              <w:t>Productores</w:t>
            </w:r>
          </w:p>
        </w:tc>
        <w:tc>
          <w:tcPr>
            <w:tcW w:w="1479" w:type="dxa"/>
            <w:tcBorders>
              <w:top w:val="single" w:sz="4" w:space="0" w:color="auto"/>
              <w:left w:val="nil"/>
              <w:bottom w:val="single" w:sz="4" w:space="0" w:color="auto"/>
              <w:right w:val="single" w:sz="4" w:space="0" w:color="auto"/>
            </w:tcBorders>
            <w:vAlign w:val="center"/>
            <w:hideMark/>
          </w:tcPr>
          <w:p w14:paraId="7523A9F9" w14:textId="77777777" w:rsidR="00AB4AA2" w:rsidRPr="0015443A" w:rsidRDefault="00AB4AA2" w:rsidP="00A17BED">
            <w:pPr>
              <w:spacing w:after="0" w:line="240" w:lineRule="auto"/>
              <w:ind w:right="0"/>
              <w:jc w:val="center"/>
              <w:rPr>
                <w:rFonts w:ascii="Times New Roman" w:eastAsia="Times New Roman" w:hAnsi="Times New Roman"/>
                <w:szCs w:val="22"/>
                <w:lang w:val="es-CO" w:eastAsia="es-CO"/>
              </w:rPr>
            </w:pPr>
            <w:r>
              <w:rPr>
                <w:rFonts w:ascii="Times New Roman" w:eastAsia="Times New Roman" w:hAnsi="Times New Roman"/>
                <w:szCs w:val="22"/>
                <w:lang w:val="es-CO" w:eastAsia="es-CO"/>
              </w:rPr>
              <w:t>9</w:t>
            </w:r>
          </w:p>
        </w:tc>
        <w:tc>
          <w:tcPr>
            <w:tcW w:w="1702" w:type="dxa"/>
            <w:tcBorders>
              <w:top w:val="single" w:sz="4" w:space="0" w:color="auto"/>
              <w:left w:val="nil"/>
              <w:bottom w:val="single" w:sz="4" w:space="0" w:color="auto"/>
              <w:right w:val="single" w:sz="4" w:space="0" w:color="auto"/>
            </w:tcBorders>
            <w:vAlign w:val="center"/>
            <w:hideMark/>
          </w:tcPr>
          <w:p w14:paraId="743C9C7C" w14:textId="77777777" w:rsidR="00AB4AA2" w:rsidRPr="0015443A" w:rsidRDefault="00AB4AA2" w:rsidP="00A17BED">
            <w:pPr>
              <w:spacing w:after="0" w:line="240" w:lineRule="auto"/>
              <w:ind w:right="0"/>
              <w:jc w:val="center"/>
              <w:rPr>
                <w:rFonts w:ascii="Times New Roman" w:eastAsia="Times New Roman" w:hAnsi="Times New Roman"/>
                <w:szCs w:val="22"/>
                <w:lang w:val="es-CO" w:eastAsia="es-CO"/>
              </w:rPr>
            </w:pPr>
            <w:r>
              <w:rPr>
                <w:rFonts w:ascii="Times New Roman" w:eastAsia="Times New Roman" w:hAnsi="Times New Roman"/>
                <w:szCs w:val="22"/>
                <w:lang w:val="es-CO" w:eastAsia="es-CO"/>
              </w:rPr>
              <w:t>5</w:t>
            </w:r>
          </w:p>
        </w:tc>
      </w:tr>
      <w:tr w:rsidR="00AB4AA2" w:rsidRPr="0015443A" w14:paraId="60CD0461" w14:textId="77777777" w:rsidTr="00906236">
        <w:trPr>
          <w:trHeight w:val="289"/>
          <w:jc w:val="center"/>
        </w:trPr>
        <w:tc>
          <w:tcPr>
            <w:tcW w:w="1643" w:type="dxa"/>
            <w:tcBorders>
              <w:top w:val="single" w:sz="4" w:space="0" w:color="auto"/>
              <w:left w:val="single" w:sz="4" w:space="0" w:color="auto"/>
              <w:bottom w:val="single" w:sz="4" w:space="0" w:color="auto"/>
              <w:right w:val="single" w:sz="4" w:space="0" w:color="auto"/>
            </w:tcBorders>
            <w:noWrap/>
            <w:vAlign w:val="center"/>
            <w:hideMark/>
          </w:tcPr>
          <w:p w14:paraId="08BB70AE" w14:textId="77777777" w:rsidR="00AB4AA2" w:rsidRPr="0015443A" w:rsidRDefault="00AB4AA2" w:rsidP="00A17BED">
            <w:pPr>
              <w:spacing w:after="0" w:line="240" w:lineRule="auto"/>
              <w:ind w:right="0"/>
              <w:rPr>
                <w:rFonts w:ascii="Times New Roman" w:eastAsia="Times New Roman" w:hAnsi="Times New Roman"/>
                <w:szCs w:val="22"/>
                <w:lang w:val="es-CO" w:eastAsia="es-CO"/>
              </w:rPr>
            </w:pPr>
            <w:r>
              <w:rPr>
                <w:rFonts w:ascii="Times New Roman" w:eastAsia="Times New Roman" w:hAnsi="Times New Roman"/>
                <w:szCs w:val="22"/>
                <w:lang w:val="es-CO" w:eastAsia="es-CO"/>
              </w:rPr>
              <w:t>Transformadores</w:t>
            </w:r>
          </w:p>
        </w:tc>
        <w:tc>
          <w:tcPr>
            <w:tcW w:w="1479" w:type="dxa"/>
            <w:tcBorders>
              <w:top w:val="single" w:sz="4" w:space="0" w:color="auto"/>
              <w:left w:val="nil"/>
              <w:bottom w:val="single" w:sz="4" w:space="0" w:color="auto"/>
              <w:right w:val="single" w:sz="4" w:space="0" w:color="auto"/>
            </w:tcBorders>
            <w:vAlign w:val="center"/>
            <w:hideMark/>
          </w:tcPr>
          <w:p w14:paraId="19DE6814" w14:textId="77777777" w:rsidR="00AB4AA2" w:rsidRPr="0015443A" w:rsidRDefault="00AB4AA2" w:rsidP="00A17BED">
            <w:pPr>
              <w:spacing w:after="0" w:line="240" w:lineRule="auto"/>
              <w:ind w:right="0"/>
              <w:jc w:val="center"/>
              <w:rPr>
                <w:rFonts w:ascii="Times New Roman" w:eastAsia="Times New Roman" w:hAnsi="Times New Roman"/>
                <w:szCs w:val="22"/>
                <w:lang w:val="es-CO" w:eastAsia="es-CO"/>
              </w:rPr>
            </w:pPr>
            <w:r>
              <w:rPr>
                <w:rFonts w:ascii="Times New Roman" w:eastAsia="Times New Roman" w:hAnsi="Times New Roman"/>
                <w:szCs w:val="22"/>
                <w:lang w:val="es-CO" w:eastAsia="es-CO"/>
              </w:rPr>
              <w:t>2</w:t>
            </w:r>
          </w:p>
        </w:tc>
        <w:tc>
          <w:tcPr>
            <w:tcW w:w="1702" w:type="dxa"/>
            <w:tcBorders>
              <w:top w:val="single" w:sz="4" w:space="0" w:color="auto"/>
              <w:left w:val="nil"/>
              <w:bottom w:val="single" w:sz="4" w:space="0" w:color="auto"/>
              <w:right w:val="single" w:sz="4" w:space="0" w:color="auto"/>
            </w:tcBorders>
            <w:vAlign w:val="center"/>
            <w:hideMark/>
          </w:tcPr>
          <w:p w14:paraId="044B88D5" w14:textId="77777777" w:rsidR="00AB4AA2" w:rsidRPr="0015443A" w:rsidRDefault="00AB4AA2" w:rsidP="00A17BED">
            <w:pPr>
              <w:spacing w:after="0" w:line="240" w:lineRule="auto"/>
              <w:ind w:right="0"/>
              <w:jc w:val="center"/>
              <w:rPr>
                <w:rFonts w:ascii="Times New Roman" w:eastAsia="Times New Roman" w:hAnsi="Times New Roman"/>
                <w:szCs w:val="22"/>
                <w:lang w:val="es-CO" w:eastAsia="es-CO"/>
              </w:rPr>
            </w:pPr>
            <w:r>
              <w:rPr>
                <w:rFonts w:ascii="Times New Roman" w:eastAsia="Times New Roman" w:hAnsi="Times New Roman"/>
                <w:szCs w:val="22"/>
                <w:lang w:val="es-CO" w:eastAsia="es-CO"/>
              </w:rPr>
              <w:t>3</w:t>
            </w:r>
          </w:p>
        </w:tc>
      </w:tr>
      <w:tr w:rsidR="00AB4AA2" w:rsidRPr="0015443A" w14:paraId="1B9D4151" w14:textId="77777777" w:rsidTr="00906236">
        <w:trPr>
          <w:trHeight w:val="289"/>
          <w:jc w:val="center"/>
        </w:trPr>
        <w:tc>
          <w:tcPr>
            <w:tcW w:w="1643" w:type="dxa"/>
            <w:tcBorders>
              <w:top w:val="single" w:sz="4" w:space="0" w:color="auto"/>
              <w:left w:val="single" w:sz="4" w:space="0" w:color="auto"/>
              <w:bottom w:val="single" w:sz="4" w:space="0" w:color="auto"/>
              <w:right w:val="single" w:sz="4" w:space="0" w:color="auto"/>
            </w:tcBorders>
            <w:noWrap/>
            <w:vAlign w:val="center"/>
          </w:tcPr>
          <w:p w14:paraId="342DF580" w14:textId="77777777" w:rsidR="00AB4AA2" w:rsidRDefault="00AB4AA2" w:rsidP="00A17BED">
            <w:pPr>
              <w:spacing w:after="0" w:line="240" w:lineRule="auto"/>
              <w:ind w:right="0"/>
              <w:rPr>
                <w:rFonts w:ascii="Times New Roman" w:eastAsia="Times New Roman" w:hAnsi="Times New Roman"/>
                <w:szCs w:val="22"/>
                <w:lang w:val="es-CO" w:eastAsia="es-CO"/>
              </w:rPr>
            </w:pPr>
            <w:r>
              <w:rPr>
                <w:rFonts w:ascii="Times New Roman" w:eastAsia="Times New Roman" w:hAnsi="Times New Roman"/>
                <w:szCs w:val="22"/>
                <w:lang w:val="es-CO" w:eastAsia="es-CO"/>
              </w:rPr>
              <w:t>Academia</w:t>
            </w:r>
          </w:p>
        </w:tc>
        <w:tc>
          <w:tcPr>
            <w:tcW w:w="1479" w:type="dxa"/>
            <w:tcBorders>
              <w:top w:val="single" w:sz="4" w:space="0" w:color="auto"/>
              <w:left w:val="nil"/>
              <w:bottom w:val="single" w:sz="4" w:space="0" w:color="auto"/>
              <w:right w:val="single" w:sz="4" w:space="0" w:color="auto"/>
            </w:tcBorders>
            <w:vAlign w:val="center"/>
          </w:tcPr>
          <w:p w14:paraId="622FF76E" w14:textId="77777777" w:rsidR="00AB4AA2" w:rsidRPr="0015443A" w:rsidRDefault="00AB4AA2" w:rsidP="00A17BED">
            <w:pPr>
              <w:spacing w:after="0" w:line="240" w:lineRule="auto"/>
              <w:ind w:right="0"/>
              <w:jc w:val="center"/>
              <w:rPr>
                <w:rFonts w:ascii="Times New Roman" w:eastAsia="Times New Roman" w:hAnsi="Times New Roman"/>
                <w:szCs w:val="22"/>
                <w:lang w:val="es-CO" w:eastAsia="es-CO"/>
              </w:rPr>
            </w:pPr>
            <w:r>
              <w:rPr>
                <w:rFonts w:ascii="Times New Roman" w:eastAsia="Times New Roman" w:hAnsi="Times New Roman"/>
                <w:szCs w:val="22"/>
                <w:lang w:val="es-CO" w:eastAsia="es-CO"/>
              </w:rPr>
              <w:t>1</w:t>
            </w:r>
          </w:p>
        </w:tc>
        <w:tc>
          <w:tcPr>
            <w:tcW w:w="1702" w:type="dxa"/>
            <w:tcBorders>
              <w:top w:val="single" w:sz="4" w:space="0" w:color="auto"/>
              <w:left w:val="nil"/>
              <w:bottom w:val="single" w:sz="4" w:space="0" w:color="auto"/>
              <w:right w:val="single" w:sz="4" w:space="0" w:color="auto"/>
            </w:tcBorders>
            <w:vAlign w:val="center"/>
          </w:tcPr>
          <w:p w14:paraId="65341F2F" w14:textId="77777777" w:rsidR="00AB4AA2" w:rsidRPr="0015443A" w:rsidRDefault="00AB4AA2" w:rsidP="00A17BED">
            <w:pPr>
              <w:spacing w:after="0" w:line="240" w:lineRule="auto"/>
              <w:ind w:right="0"/>
              <w:jc w:val="center"/>
              <w:rPr>
                <w:rFonts w:ascii="Times New Roman" w:eastAsia="Times New Roman" w:hAnsi="Times New Roman"/>
                <w:szCs w:val="22"/>
                <w:lang w:val="es-CO" w:eastAsia="es-CO"/>
              </w:rPr>
            </w:pPr>
          </w:p>
        </w:tc>
      </w:tr>
      <w:tr w:rsidR="00AB4AA2" w:rsidRPr="0015443A" w14:paraId="0FEE3CE8" w14:textId="77777777" w:rsidTr="00906236">
        <w:trPr>
          <w:trHeight w:val="289"/>
          <w:jc w:val="center"/>
        </w:trPr>
        <w:tc>
          <w:tcPr>
            <w:tcW w:w="1643" w:type="dxa"/>
            <w:tcBorders>
              <w:top w:val="single" w:sz="4" w:space="0" w:color="auto"/>
              <w:left w:val="single" w:sz="4" w:space="0" w:color="auto"/>
              <w:bottom w:val="single" w:sz="4" w:space="0" w:color="auto"/>
              <w:right w:val="single" w:sz="4" w:space="0" w:color="auto"/>
            </w:tcBorders>
            <w:noWrap/>
            <w:vAlign w:val="center"/>
          </w:tcPr>
          <w:p w14:paraId="7ADF81D6" w14:textId="77777777" w:rsidR="00AB4AA2" w:rsidRPr="00AB4AA2" w:rsidRDefault="00AB4AA2" w:rsidP="00A17BED">
            <w:pPr>
              <w:spacing w:after="0" w:line="240" w:lineRule="auto"/>
              <w:ind w:right="0"/>
              <w:rPr>
                <w:rFonts w:ascii="Times New Roman" w:eastAsia="Times New Roman" w:hAnsi="Times New Roman"/>
                <w:b/>
                <w:szCs w:val="22"/>
                <w:lang w:val="es-CO" w:eastAsia="es-CO"/>
              </w:rPr>
            </w:pPr>
            <w:r w:rsidRPr="00AB4AA2">
              <w:rPr>
                <w:rFonts w:ascii="Times New Roman" w:eastAsia="Times New Roman" w:hAnsi="Times New Roman"/>
                <w:b/>
                <w:szCs w:val="22"/>
                <w:lang w:val="es-CO" w:eastAsia="es-CO"/>
              </w:rPr>
              <w:t>Total</w:t>
            </w:r>
          </w:p>
        </w:tc>
        <w:tc>
          <w:tcPr>
            <w:tcW w:w="1479" w:type="dxa"/>
            <w:tcBorders>
              <w:top w:val="single" w:sz="4" w:space="0" w:color="auto"/>
              <w:left w:val="nil"/>
              <w:bottom w:val="single" w:sz="4" w:space="0" w:color="auto"/>
              <w:right w:val="single" w:sz="4" w:space="0" w:color="auto"/>
            </w:tcBorders>
            <w:vAlign w:val="center"/>
          </w:tcPr>
          <w:p w14:paraId="6B84DE88" w14:textId="77777777" w:rsidR="00AB4AA2" w:rsidRPr="00AB4AA2" w:rsidRDefault="00AB4AA2" w:rsidP="00A17BED">
            <w:pPr>
              <w:spacing w:after="0" w:line="240" w:lineRule="auto"/>
              <w:ind w:right="0"/>
              <w:jc w:val="center"/>
              <w:rPr>
                <w:rFonts w:ascii="Times New Roman" w:eastAsia="Times New Roman" w:hAnsi="Times New Roman"/>
                <w:b/>
                <w:szCs w:val="22"/>
                <w:lang w:val="es-CO" w:eastAsia="es-CO"/>
              </w:rPr>
            </w:pPr>
            <w:r w:rsidRPr="00AB4AA2">
              <w:rPr>
                <w:rFonts w:ascii="Times New Roman" w:eastAsia="Times New Roman" w:hAnsi="Times New Roman"/>
                <w:b/>
                <w:szCs w:val="22"/>
                <w:lang w:val="es-CO" w:eastAsia="es-CO"/>
              </w:rPr>
              <w:t>12</w:t>
            </w:r>
          </w:p>
        </w:tc>
        <w:tc>
          <w:tcPr>
            <w:tcW w:w="1702" w:type="dxa"/>
            <w:tcBorders>
              <w:top w:val="single" w:sz="4" w:space="0" w:color="auto"/>
              <w:left w:val="nil"/>
              <w:bottom w:val="single" w:sz="4" w:space="0" w:color="auto"/>
              <w:right w:val="single" w:sz="4" w:space="0" w:color="auto"/>
            </w:tcBorders>
            <w:vAlign w:val="center"/>
          </w:tcPr>
          <w:p w14:paraId="635A07E8" w14:textId="77777777" w:rsidR="00AB4AA2" w:rsidRPr="00AB4AA2" w:rsidRDefault="00AB4AA2" w:rsidP="00A17BED">
            <w:pPr>
              <w:spacing w:after="0" w:line="240" w:lineRule="auto"/>
              <w:ind w:right="0"/>
              <w:jc w:val="center"/>
              <w:rPr>
                <w:rFonts w:ascii="Times New Roman" w:eastAsia="Times New Roman" w:hAnsi="Times New Roman"/>
                <w:b/>
                <w:szCs w:val="22"/>
                <w:lang w:val="es-CO" w:eastAsia="es-CO"/>
              </w:rPr>
            </w:pPr>
            <w:r>
              <w:rPr>
                <w:rFonts w:ascii="Times New Roman" w:eastAsia="Times New Roman" w:hAnsi="Times New Roman"/>
                <w:b/>
                <w:szCs w:val="22"/>
                <w:lang w:val="es-CO" w:eastAsia="es-CO"/>
              </w:rPr>
              <w:t>8</w:t>
            </w:r>
          </w:p>
        </w:tc>
      </w:tr>
    </w:tbl>
    <w:p w14:paraId="41A339CB" w14:textId="77777777" w:rsidR="00AB4AA2" w:rsidRDefault="00AB4AA2" w:rsidP="00AB4AA2">
      <w:pPr>
        <w:jc w:val="both"/>
        <w:rPr>
          <w:rFonts w:asciiTheme="majorHAnsi" w:hAnsiTheme="majorHAnsi" w:cstheme="majorHAnsi"/>
          <w:lang w:val="es-CO"/>
        </w:rPr>
      </w:pPr>
    </w:p>
    <w:p w14:paraId="2ABA5423" w14:textId="560195B4" w:rsidR="00906236" w:rsidRPr="00906236" w:rsidRDefault="00906236" w:rsidP="00906236">
      <w:pPr>
        <w:jc w:val="both"/>
        <w:rPr>
          <w:rFonts w:asciiTheme="majorHAnsi" w:hAnsiTheme="majorHAnsi" w:cstheme="majorHAnsi"/>
          <w:lang w:val="es-CO"/>
        </w:rPr>
      </w:pPr>
      <w:r w:rsidRPr="00906236">
        <w:rPr>
          <w:rFonts w:asciiTheme="majorHAnsi" w:hAnsiTheme="majorHAnsi" w:cstheme="majorHAnsi"/>
          <w:lang w:val="es-CO"/>
        </w:rPr>
        <w:t>En 2023 se realizaron un total de 12 entrevistas, de las cuales 9 fueron a productores de los departamentos de Córdoba y Sucre, 3 correspondieron a empresas transformadoras (ADS y Poltec), y 1 entrevista fue con Agrosavia, en</w:t>
      </w:r>
      <w:r>
        <w:rPr>
          <w:rFonts w:asciiTheme="majorHAnsi" w:hAnsiTheme="majorHAnsi" w:cstheme="majorHAnsi"/>
          <w:lang w:val="es-CO"/>
        </w:rPr>
        <w:t xml:space="preserve"> representación de la academia.</w:t>
      </w:r>
    </w:p>
    <w:p w14:paraId="5EEEFE86" w14:textId="52186698" w:rsidR="00D469CC" w:rsidRDefault="00906236" w:rsidP="00955648">
      <w:pPr>
        <w:jc w:val="both"/>
        <w:rPr>
          <w:rFonts w:asciiTheme="majorHAnsi" w:hAnsiTheme="majorHAnsi" w:cstheme="majorHAnsi"/>
          <w:lang w:val="es-CO"/>
        </w:rPr>
      </w:pPr>
      <w:r w:rsidRPr="00906236">
        <w:rPr>
          <w:rFonts w:asciiTheme="majorHAnsi" w:hAnsiTheme="majorHAnsi" w:cstheme="majorHAnsi"/>
          <w:lang w:val="es-CO"/>
        </w:rPr>
        <w:t>En 2025, se llevaron a cabo 8 entrevistas, de las cuales 5 fueron a productores de Córdoba y Sucre, y 3 correspondieron a transformadores, específicamente de ADS.</w:t>
      </w:r>
    </w:p>
    <w:p w14:paraId="15D8EBD7" w14:textId="77777777" w:rsidR="00906236" w:rsidRDefault="00906236" w:rsidP="00906236">
      <w:pPr>
        <w:jc w:val="right"/>
        <w:rPr>
          <w:rFonts w:asciiTheme="majorHAnsi" w:hAnsiTheme="majorHAnsi" w:cstheme="majorHAnsi"/>
          <w:lang w:val="es-CO"/>
        </w:rPr>
      </w:pPr>
    </w:p>
    <w:p w14:paraId="3ED53450" w14:textId="77777777" w:rsidR="00A17BED" w:rsidRDefault="00A17BED">
      <w:pPr>
        <w:spacing w:after="0" w:line="240" w:lineRule="auto"/>
        <w:ind w:right="0"/>
        <w:rPr>
          <w:rFonts w:asciiTheme="majorHAnsi" w:hAnsiTheme="majorHAnsi" w:cstheme="majorBidi"/>
          <w:b/>
          <w:bCs/>
          <w:color w:val="263238"/>
          <w:sz w:val="40"/>
          <w:szCs w:val="32"/>
          <w:lang w:val="es-CO"/>
        </w:rPr>
      </w:pPr>
      <w:r>
        <w:rPr>
          <w:rFonts w:asciiTheme="majorHAnsi" w:hAnsiTheme="majorHAnsi" w:cstheme="majorBidi"/>
          <w:lang w:val="es-CO"/>
        </w:rPr>
        <w:br w:type="page"/>
      </w:r>
    </w:p>
    <w:p w14:paraId="2AD2E678" w14:textId="15D24607" w:rsidR="00D469CC" w:rsidRPr="00633439" w:rsidRDefault="00D469CC" w:rsidP="00955648">
      <w:pPr>
        <w:pStyle w:val="Ttulo1"/>
        <w:numPr>
          <w:ilvl w:val="0"/>
          <w:numId w:val="3"/>
        </w:numPr>
        <w:jc w:val="both"/>
        <w:rPr>
          <w:rFonts w:asciiTheme="majorHAnsi" w:hAnsiTheme="majorHAnsi" w:cstheme="majorBidi"/>
          <w:lang w:val="es-CO"/>
        </w:rPr>
      </w:pPr>
      <w:bookmarkStart w:id="13" w:name="_Toc217565993"/>
      <w:r>
        <w:rPr>
          <w:rFonts w:asciiTheme="majorHAnsi" w:hAnsiTheme="majorHAnsi" w:cstheme="majorBidi"/>
          <w:lang w:val="es-CO"/>
        </w:rPr>
        <w:lastRenderedPageBreak/>
        <w:t>Análisis de resultados</w:t>
      </w:r>
      <w:bookmarkEnd w:id="13"/>
    </w:p>
    <w:p w14:paraId="44BA5C36" w14:textId="26729AA0" w:rsidR="00E34690" w:rsidRDefault="00E34690" w:rsidP="00E34690">
      <w:pPr>
        <w:jc w:val="both"/>
        <w:rPr>
          <w:rFonts w:asciiTheme="majorHAnsi" w:hAnsiTheme="majorHAnsi" w:cstheme="majorHAnsi"/>
          <w:lang w:val="es-CO"/>
        </w:rPr>
      </w:pPr>
      <w:r w:rsidRPr="00E34690">
        <w:rPr>
          <w:rFonts w:asciiTheme="majorHAnsi" w:hAnsiTheme="majorHAnsi" w:cstheme="majorHAnsi"/>
          <w:lang w:val="es-CO"/>
        </w:rPr>
        <w:t>El ejercicio de medición del cambio económico permite identificar las tendencias en el comportamiento de la cadena de valor de la yuca y proporciona información clave para analizar los factores subyacentes a esas dinámicas. Con el objetivo de evaluar estas fluctuaciones, se realizaron dos mediciones, una en 2023 y otra en 2025, lo que permitió observar las variaciones a lo</w:t>
      </w:r>
      <w:r>
        <w:rPr>
          <w:rFonts w:asciiTheme="majorHAnsi" w:hAnsiTheme="majorHAnsi" w:cstheme="majorHAnsi"/>
          <w:lang w:val="es-CO"/>
        </w:rPr>
        <w:t xml:space="preserve"> largo de un periodo razonable.</w:t>
      </w:r>
    </w:p>
    <w:p w14:paraId="468A5C7A" w14:textId="77777777" w:rsidR="004B48E1" w:rsidRDefault="004B48E1" w:rsidP="00E34690">
      <w:pPr>
        <w:jc w:val="both"/>
        <w:rPr>
          <w:rFonts w:asciiTheme="majorHAnsi" w:hAnsiTheme="majorHAnsi" w:cstheme="majorHAnsi"/>
          <w:lang w:val="es-CO"/>
        </w:rPr>
      </w:pPr>
    </w:p>
    <w:p w14:paraId="1444BCA1" w14:textId="19C98EC7" w:rsidR="00A17BED" w:rsidRPr="00A17BED" w:rsidRDefault="00A17BED" w:rsidP="00E34690">
      <w:pPr>
        <w:jc w:val="both"/>
        <w:rPr>
          <w:rFonts w:asciiTheme="majorHAnsi" w:hAnsiTheme="majorHAnsi" w:cstheme="majorHAnsi"/>
          <w:b/>
          <w:lang w:val="es-CO"/>
        </w:rPr>
      </w:pPr>
      <w:r w:rsidRPr="00A17BED">
        <w:rPr>
          <w:rFonts w:asciiTheme="majorHAnsi" w:hAnsiTheme="majorHAnsi" w:cstheme="majorHAnsi"/>
          <w:b/>
          <w:lang w:val="es-CO"/>
        </w:rPr>
        <w:t>Precio e ingresos</w:t>
      </w:r>
    </w:p>
    <w:p w14:paraId="3EE355FC" w14:textId="618C6EA4" w:rsidR="00E34690" w:rsidRPr="00E34690" w:rsidRDefault="00E34690" w:rsidP="00E34690">
      <w:pPr>
        <w:jc w:val="both"/>
        <w:rPr>
          <w:rFonts w:asciiTheme="majorHAnsi" w:hAnsiTheme="majorHAnsi" w:cstheme="majorHAnsi"/>
          <w:lang w:val="es-CO"/>
        </w:rPr>
      </w:pPr>
      <w:r w:rsidRPr="00E34690">
        <w:rPr>
          <w:rFonts w:asciiTheme="majorHAnsi" w:hAnsiTheme="majorHAnsi" w:cstheme="majorHAnsi"/>
          <w:lang w:val="es-CO"/>
        </w:rPr>
        <w:t xml:space="preserve">En cuanto al precio, este fue el indicador que experimentó el mayor cambio durante el periodo analizado. En 2023, el precio alcanzó un pico de </w:t>
      </w:r>
      <w:r w:rsidR="00A17BED">
        <w:rPr>
          <w:rFonts w:asciiTheme="majorHAnsi" w:hAnsiTheme="majorHAnsi" w:cstheme="majorHAnsi"/>
          <w:lang w:val="es-CO"/>
        </w:rPr>
        <w:t>$</w:t>
      </w:r>
      <w:r w:rsidRPr="00E34690">
        <w:rPr>
          <w:rFonts w:asciiTheme="majorHAnsi" w:hAnsiTheme="majorHAnsi" w:cstheme="majorHAnsi"/>
          <w:lang w:val="es-CO"/>
        </w:rPr>
        <w:t xml:space="preserve">1.3 millones de pesos por tonelada de raíces frescas de yuca. Sin embargo, en 2024, el precio cayó a </w:t>
      </w:r>
      <w:r w:rsidR="00A17BED">
        <w:rPr>
          <w:rFonts w:asciiTheme="majorHAnsi" w:hAnsiTheme="majorHAnsi" w:cstheme="majorHAnsi"/>
          <w:lang w:val="es-CO"/>
        </w:rPr>
        <w:t>$</w:t>
      </w:r>
      <w:r w:rsidR="008C0D76">
        <w:rPr>
          <w:rFonts w:asciiTheme="majorHAnsi" w:hAnsiTheme="majorHAnsi" w:cstheme="majorHAnsi"/>
          <w:lang w:val="es-CO"/>
        </w:rPr>
        <w:t>400,000 pesos por tonelada, y a mediados de</w:t>
      </w:r>
      <w:r w:rsidRPr="00E34690">
        <w:rPr>
          <w:rFonts w:asciiTheme="majorHAnsi" w:hAnsiTheme="majorHAnsi" w:cstheme="majorHAnsi"/>
          <w:lang w:val="es-CO"/>
        </w:rPr>
        <w:t xml:space="preserve"> 2025 se estabilizó alrededor</w:t>
      </w:r>
      <w:r>
        <w:rPr>
          <w:rFonts w:asciiTheme="majorHAnsi" w:hAnsiTheme="majorHAnsi" w:cstheme="majorHAnsi"/>
          <w:lang w:val="es-CO"/>
        </w:rPr>
        <w:t xml:space="preserve"> de </w:t>
      </w:r>
      <w:r w:rsidR="00A17BED">
        <w:rPr>
          <w:rFonts w:asciiTheme="majorHAnsi" w:hAnsiTheme="majorHAnsi" w:cstheme="majorHAnsi"/>
          <w:lang w:val="es-CO"/>
        </w:rPr>
        <w:t>$</w:t>
      </w:r>
      <w:r w:rsidR="008C0D76">
        <w:rPr>
          <w:rFonts w:asciiTheme="majorHAnsi" w:hAnsiTheme="majorHAnsi" w:cstheme="majorHAnsi"/>
          <w:lang w:val="es-CO"/>
        </w:rPr>
        <w:t>6</w:t>
      </w:r>
      <w:r>
        <w:rPr>
          <w:rFonts w:asciiTheme="majorHAnsi" w:hAnsiTheme="majorHAnsi" w:cstheme="majorHAnsi"/>
          <w:lang w:val="es-CO"/>
        </w:rPr>
        <w:t>00,000 pesos por tonelada.</w:t>
      </w:r>
    </w:p>
    <w:p w14:paraId="1C7555BD" w14:textId="5C99D99F" w:rsidR="00E34690" w:rsidRDefault="00E34690" w:rsidP="00633439">
      <w:pPr>
        <w:jc w:val="both"/>
        <w:rPr>
          <w:rFonts w:asciiTheme="majorHAnsi" w:hAnsiTheme="majorHAnsi" w:cstheme="majorHAnsi"/>
          <w:lang w:val="es-CO"/>
        </w:rPr>
      </w:pPr>
      <w:r w:rsidRPr="00E34690">
        <w:rPr>
          <w:rFonts w:asciiTheme="majorHAnsi" w:hAnsiTheme="majorHAnsi" w:cstheme="majorHAnsi"/>
          <w:lang w:val="es-CO"/>
        </w:rPr>
        <w:t xml:space="preserve">Según los datos de hectáreas cosechadas y la información recopilada en campo, el principal factor que influyó en la variación de los precios fue la sobreoferta de yuca </w:t>
      </w:r>
      <w:r w:rsidR="00A17BED">
        <w:rPr>
          <w:rFonts w:asciiTheme="majorHAnsi" w:hAnsiTheme="majorHAnsi" w:cstheme="majorHAnsi"/>
          <w:lang w:val="es-CO"/>
        </w:rPr>
        <w:t>derivada de la bonanza</w:t>
      </w:r>
      <w:r w:rsidRPr="00E34690">
        <w:rPr>
          <w:rFonts w:asciiTheme="majorHAnsi" w:hAnsiTheme="majorHAnsi" w:cstheme="majorHAnsi"/>
          <w:lang w:val="es-CO"/>
        </w:rPr>
        <w:t xml:space="preserve"> de precios</w:t>
      </w:r>
      <w:r w:rsidR="00A17BED">
        <w:rPr>
          <w:rFonts w:asciiTheme="majorHAnsi" w:hAnsiTheme="majorHAnsi" w:cstheme="majorHAnsi"/>
          <w:lang w:val="es-CO"/>
        </w:rPr>
        <w:t xml:space="preserve"> de 2023</w:t>
      </w:r>
      <w:r w:rsidRPr="00E34690">
        <w:rPr>
          <w:rFonts w:asciiTheme="majorHAnsi" w:hAnsiTheme="majorHAnsi" w:cstheme="majorHAnsi"/>
          <w:lang w:val="es-CO"/>
        </w:rPr>
        <w:t>. Esta dinámica es común en cadenas de valor que aún no están completamente consolidadas, donde las barreras de entrada son bajas, lo que facilita la entrada de actores que buscan rentas rápidas. Sin embargo, al intentar maximizar sus beneficios individuales, estos actores terminan afectando negativamente al beneficio colectivo, incluidos los actores tradicionales. Esta situación se ha repetido en otras cadenas agrícolas, como el cacao y el arroz, donde un aumento significativo del precio motiva un incremento en las áreas sembradas, lo que genera una sobreoferta en el siguiente periodo, provocando una caída del precio y erosionando las ganancias obtenidas en el periodo anterior.</w:t>
      </w:r>
    </w:p>
    <w:p w14:paraId="153E9C9B" w14:textId="0A0D154F" w:rsidR="00A17BED" w:rsidRDefault="00A17BED" w:rsidP="00633439">
      <w:pPr>
        <w:jc w:val="both"/>
        <w:rPr>
          <w:rFonts w:asciiTheme="majorHAnsi" w:hAnsiTheme="majorHAnsi" w:cstheme="majorHAnsi"/>
          <w:lang w:val="es-CO"/>
        </w:rPr>
      </w:pPr>
      <w:r>
        <w:rPr>
          <w:rFonts w:asciiTheme="majorHAnsi" w:hAnsiTheme="majorHAnsi" w:cstheme="majorHAnsi"/>
          <w:lang w:val="es-CO"/>
        </w:rPr>
        <w:t>Una cadena de valor madurada ha logrado desarrollar mecanismos para generar una mayor estabilización de precios, a través de una mayor formalización de la cadena, una mejor planeación y una mayor asociatividad.</w:t>
      </w:r>
    </w:p>
    <w:p w14:paraId="450A7C1A" w14:textId="77777777" w:rsidR="004B48E1" w:rsidRDefault="004B48E1" w:rsidP="00633439">
      <w:pPr>
        <w:jc w:val="both"/>
        <w:rPr>
          <w:rFonts w:asciiTheme="majorHAnsi" w:hAnsiTheme="majorHAnsi" w:cstheme="majorHAnsi"/>
          <w:lang w:val="es-CO"/>
        </w:rPr>
      </w:pPr>
    </w:p>
    <w:p w14:paraId="44ABD39E" w14:textId="6A295496" w:rsidR="00BC1609" w:rsidRPr="00A17BED" w:rsidRDefault="00BC1609" w:rsidP="00633439">
      <w:pPr>
        <w:jc w:val="both"/>
        <w:rPr>
          <w:rFonts w:asciiTheme="majorHAnsi" w:hAnsiTheme="majorHAnsi" w:cstheme="majorHAnsi"/>
          <w:b/>
          <w:lang w:val="es-CO"/>
        </w:rPr>
      </w:pPr>
      <w:r w:rsidRPr="00A17BED">
        <w:rPr>
          <w:rFonts w:asciiTheme="majorHAnsi" w:hAnsiTheme="majorHAnsi" w:cstheme="majorHAnsi"/>
          <w:b/>
          <w:lang w:val="es-CO"/>
        </w:rPr>
        <w:t xml:space="preserve">Costos de producción </w:t>
      </w:r>
    </w:p>
    <w:p w14:paraId="3466A391" w14:textId="7CD21ED0" w:rsidR="00150548" w:rsidRPr="00150548" w:rsidRDefault="00150548" w:rsidP="00150548">
      <w:pPr>
        <w:jc w:val="both"/>
        <w:rPr>
          <w:rFonts w:asciiTheme="majorHAnsi" w:hAnsiTheme="majorHAnsi" w:cstheme="majorHAnsi"/>
          <w:lang w:val="es-CO"/>
        </w:rPr>
      </w:pPr>
      <w:r w:rsidRPr="00150548">
        <w:rPr>
          <w:rFonts w:asciiTheme="majorHAnsi" w:hAnsiTheme="majorHAnsi" w:cstheme="majorHAnsi"/>
          <w:lang w:val="es-CO"/>
        </w:rPr>
        <w:t>Los costos de producción mostraron, en general, una tendencia creciente. Los costos que experimentaron mayor variación fueron aquellos relacionados con el arriendo de la tierra y la mano de obra, es decir, los costos fijos. Según los entrevistados, el aumento en el valor del arriendo de la tierra fue impulsado principalmente por la bonanza de precios de la yuca en 2023 y por el interés de los propietarios en aumentar sus márgenes de ganancia. Esta apreciación se sustenta en que no hubo mejoras significativas en las tierras entre los periodos</w:t>
      </w:r>
      <w:r w:rsidR="004B48E1">
        <w:rPr>
          <w:rFonts w:asciiTheme="majorHAnsi" w:hAnsiTheme="majorHAnsi" w:cstheme="majorHAnsi"/>
          <w:lang w:val="es-CO"/>
        </w:rPr>
        <w:t xml:space="preserve"> estudiados</w:t>
      </w:r>
      <w:r w:rsidRPr="00150548">
        <w:rPr>
          <w:rFonts w:asciiTheme="majorHAnsi" w:hAnsiTheme="majorHAnsi" w:cstheme="majorHAnsi"/>
          <w:lang w:val="es-CO"/>
        </w:rPr>
        <w:t xml:space="preserve">, ni en infraestructura ni en la recuperación del suelo a través de prácticas </w:t>
      </w:r>
      <w:r w:rsidR="004B48E1">
        <w:rPr>
          <w:rFonts w:asciiTheme="majorHAnsi" w:hAnsiTheme="majorHAnsi" w:cstheme="majorHAnsi"/>
          <w:lang w:val="es-CO"/>
        </w:rPr>
        <w:t xml:space="preserve">realizadas por </w:t>
      </w:r>
      <w:r w:rsidRPr="00150548">
        <w:rPr>
          <w:rFonts w:asciiTheme="majorHAnsi" w:hAnsiTheme="majorHAnsi" w:cstheme="majorHAnsi"/>
          <w:lang w:val="es-CO"/>
        </w:rPr>
        <w:t xml:space="preserve">los propietarios. Sin embargo, el alquiler de estas tierras aumentó entre un 50% y un 150%, con casos en los que el arriendo </w:t>
      </w:r>
      <w:r w:rsidR="00CB0D39">
        <w:rPr>
          <w:rFonts w:asciiTheme="majorHAnsi" w:hAnsiTheme="majorHAnsi" w:cstheme="majorHAnsi"/>
          <w:lang w:val="es-CO"/>
        </w:rPr>
        <w:t>anual por hectárea pasó de $800.</w:t>
      </w:r>
      <w:r w:rsidRPr="00150548">
        <w:rPr>
          <w:rFonts w:asciiTheme="majorHAnsi" w:hAnsiTheme="majorHAnsi" w:cstheme="majorHAnsi"/>
          <w:lang w:val="es-CO"/>
        </w:rPr>
        <w:t>00</w:t>
      </w:r>
      <w:r w:rsidR="00CB0D39">
        <w:rPr>
          <w:rFonts w:asciiTheme="majorHAnsi" w:hAnsiTheme="majorHAnsi" w:cstheme="majorHAnsi"/>
          <w:lang w:val="es-CO"/>
        </w:rPr>
        <w:t>0 en 2022 a $2.000.</w:t>
      </w:r>
      <w:r>
        <w:rPr>
          <w:rFonts w:asciiTheme="majorHAnsi" w:hAnsiTheme="majorHAnsi" w:cstheme="majorHAnsi"/>
          <w:lang w:val="es-CO"/>
        </w:rPr>
        <w:t>000 en 2023.</w:t>
      </w:r>
    </w:p>
    <w:p w14:paraId="1D50DE43" w14:textId="59979A1A" w:rsidR="00150548" w:rsidRPr="00150548" w:rsidRDefault="00150548" w:rsidP="00150548">
      <w:pPr>
        <w:jc w:val="both"/>
        <w:rPr>
          <w:rFonts w:asciiTheme="majorHAnsi" w:hAnsiTheme="majorHAnsi" w:cstheme="majorHAnsi"/>
          <w:lang w:val="es-CO"/>
        </w:rPr>
      </w:pPr>
      <w:r w:rsidRPr="00150548">
        <w:rPr>
          <w:rFonts w:asciiTheme="majorHAnsi" w:hAnsiTheme="majorHAnsi" w:cstheme="majorHAnsi"/>
          <w:lang w:val="es-CO"/>
        </w:rPr>
        <w:lastRenderedPageBreak/>
        <w:t>Por otro lado, el costo de la mano de obra experimentó un incremento principalmente debido a la escasez de trabajadores, ya que el aumento en las hectáreas cosechadas generó una mayor demanda de mano de obra en una región con una oferta relativamente constante. Además, existe otro fenómeno que ha presionado al alza el valor de la mano de obra: el bajo relevo generacional. Los jóvenes están buscando empleo en zonas urbanas y migrando de las áreas rurales. Aunque esta tendencia es gradual, también contribuye al aument</w:t>
      </w:r>
      <w:r>
        <w:rPr>
          <w:rFonts w:asciiTheme="majorHAnsi" w:hAnsiTheme="majorHAnsi" w:cstheme="majorHAnsi"/>
          <w:lang w:val="es-CO"/>
        </w:rPr>
        <w:t>o del costo de la mano de obra.</w:t>
      </w:r>
    </w:p>
    <w:p w14:paraId="426B6D55" w14:textId="0316572E" w:rsidR="00150548" w:rsidRPr="00150548" w:rsidRDefault="00150548" w:rsidP="00150548">
      <w:pPr>
        <w:jc w:val="both"/>
        <w:rPr>
          <w:rFonts w:asciiTheme="majorHAnsi" w:hAnsiTheme="majorHAnsi" w:cstheme="majorHAnsi"/>
          <w:lang w:val="es-CO"/>
        </w:rPr>
      </w:pPr>
      <w:r w:rsidRPr="00150548">
        <w:rPr>
          <w:rFonts w:asciiTheme="majorHAnsi" w:hAnsiTheme="majorHAnsi" w:cstheme="majorHAnsi"/>
          <w:lang w:val="es-CO"/>
        </w:rPr>
        <w:t>Estas dinámicas llevaron a un incremento en los costos totales de producción de yuca durante el periodo estudiado. En 2023, los costos de producción por hectár</w:t>
      </w:r>
      <w:r w:rsidR="00CB0D39">
        <w:rPr>
          <w:rFonts w:asciiTheme="majorHAnsi" w:hAnsiTheme="majorHAnsi" w:cstheme="majorHAnsi"/>
          <w:lang w:val="es-CO"/>
        </w:rPr>
        <w:t>ea cultivada oscilaron entre $</w:t>
      </w:r>
      <w:r w:rsidR="000B3454">
        <w:rPr>
          <w:rFonts w:asciiTheme="majorHAnsi" w:hAnsiTheme="majorHAnsi" w:cstheme="majorHAnsi"/>
          <w:lang w:val="es-CO"/>
        </w:rPr>
        <w:t>6</w:t>
      </w:r>
      <w:r w:rsidR="00CB0D39">
        <w:rPr>
          <w:rFonts w:asciiTheme="majorHAnsi" w:hAnsiTheme="majorHAnsi" w:cstheme="majorHAnsi"/>
          <w:lang w:val="es-CO"/>
        </w:rPr>
        <w:t>.</w:t>
      </w:r>
      <w:r w:rsidR="000B3454">
        <w:rPr>
          <w:rFonts w:asciiTheme="majorHAnsi" w:hAnsiTheme="majorHAnsi" w:cstheme="majorHAnsi"/>
          <w:lang w:val="es-CO"/>
        </w:rPr>
        <w:t>5</w:t>
      </w:r>
      <w:r w:rsidR="00CB0D39">
        <w:rPr>
          <w:rFonts w:asciiTheme="majorHAnsi" w:hAnsiTheme="majorHAnsi" w:cstheme="majorHAnsi"/>
          <w:lang w:val="es-CO"/>
        </w:rPr>
        <w:t>00.000 y $</w:t>
      </w:r>
      <w:r w:rsidR="00154C16">
        <w:rPr>
          <w:rFonts w:asciiTheme="majorHAnsi" w:hAnsiTheme="majorHAnsi" w:cstheme="majorHAnsi"/>
          <w:lang w:val="es-CO"/>
        </w:rPr>
        <w:t>8</w:t>
      </w:r>
      <w:r w:rsidR="00CB0D39">
        <w:rPr>
          <w:rFonts w:asciiTheme="majorHAnsi" w:hAnsiTheme="majorHAnsi" w:cstheme="majorHAnsi"/>
          <w:lang w:val="es-CO"/>
        </w:rPr>
        <w:t>.</w:t>
      </w:r>
      <w:r w:rsidR="000B3454">
        <w:rPr>
          <w:rFonts w:asciiTheme="majorHAnsi" w:hAnsiTheme="majorHAnsi" w:cstheme="majorHAnsi"/>
          <w:lang w:val="es-CO"/>
        </w:rPr>
        <w:t>1</w:t>
      </w:r>
      <w:r w:rsidR="00CB0D39">
        <w:rPr>
          <w:rFonts w:asciiTheme="majorHAnsi" w:hAnsiTheme="majorHAnsi" w:cstheme="majorHAnsi"/>
          <w:lang w:val="es-CO"/>
        </w:rPr>
        <w:t>00.</w:t>
      </w:r>
      <w:r w:rsidRPr="00150548">
        <w:rPr>
          <w:rFonts w:asciiTheme="majorHAnsi" w:hAnsiTheme="majorHAnsi" w:cstheme="majorHAnsi"/>
          <w:lang w:val="es-CO"/>
        </w:rPr>
        <w:t>000, mientras que en 2025 los costos por h</w:t>
      </w:r>
      <w:r w:rsidR="00CB0D39">
        <w:rPr>
          <w:rFonts w:asciiTheme="majorHAnsi" w:hAnsiTheme="majorHAnsi" w:cstheme="majorHAnsi"/>
          <w:lang w:val="es-CO"/>
        </w:rPr>
        <w:t>ectárea fluctuaron entre $</w:t>
      </w:r>
      <w:r w:rsidR="007D3F4D">
        <w:rPr>
          <w:rFonts w:asciiTheme="majorHAnsi" w:hAnsiTheme="majorHAnsi" w:cstheme="majorHAnsi"/>
          <w:lang w:val="es-CO"/>
        </w:rPr>
        <w:t>8</w:t>
      </w:r>
      <w:r w:rsidR="00CB0D39">
        <w:rPr>
          <w:rFonts w:asciiTheme="majorHAnsi" w:hAnsiTheme="majorHAnsi" w:cstheme="majorHAnsi"/>
          <w:lang w:val="es-CO"/>
        </w:rPr>
        <w:t>.</w:t>
      </w:r>
      <w:r w:rsidR="007D3F4D">
        <w:rPr>
          <w:rFonts w:asciiTheme="majorHAnsi" w:hAnsiTheme="majorHAnsi" w:cstheme="majorHAnsi"/>
          <w:lang w:val="es-CO"/>
        </w:rPr>
        <w:t>2</w:t>
      </w:r>
      <w:r w:rsidR="00CB0D39">
        <w:rPr>
          <w:rFonts w:asciiTheme="majorHAnsi" w:hAnsiTheme="majorHAnsi" w:cstheme="majorHAnsi"/>
          <w:lang w:val="es-CO"/>
        </w:rPr>
        <w:t>00.000 y $</w:t>
      </w:r>
      <w:r w:rsidR="007D3F4D">
        <w:rPr>
          <w:rFonts w:asciiTheme="majorHAnsi" w:hAnsiTheme="majorHAnsi" w:cstheme="majorHAnsi"/>
          <w:lang w:val="es-CO"/>
        </w:rPr>
        <w:t>10</w:t>
      </w:r>
      <w:r w:rsidR="00CB0D39">
        <w:rPr>
          <w:rFonts w:asciiTheme="majorHAnsi" w:hAnsiTheme="majorHAnsi" w:cstheme="majorHAnsi"/>
          <w:lang w:val="es-CO"/>
        </w:rPr>
        <w:t>.</w:t>
      </w:r>
      <w:r w:rsidR="007D3F4D">
        <w:rPr>
          <w:rFonts w:asciiTheme="majorHAnsi" w:hAnsiTheme="majorHAnsi" w:cstheme="majorHAnsi"/>
          <w:lang w:val="es-CO"/>
        </w:rPr>
        <w:t>7</w:t>
      </w:r>
      <w:r w:rsidR="00CB0D39">
        <w:rPr>
          <w:rFonts w:asciiTheme="majorHAnsi" w:hAnsiTheme="majorHAnsi" w:cstheme="majorHAnsi"/>
          <w:lang w:val="es-CO"/>
        </w:rPr>
        <w:t>00.</w:t>
      </w:r>
      <w:r w:rsidRPr="00150548">
        <w:rPr>
          <w:rFonts w:asciiTheme="majorHAnsi" w:hAnsiTheme="majorHAnsi" w:cstheme="majorHAnsi"/>
          <w:lang w:val="es-CO"/>
        </w:rPr>
        <w:t>000.</w:t>
      </w:r>
    </w:p>
    <w:p w14:paraId="2E4E2A2D" w14:textId="77777777" w:rsidR="00150548" w:rsidRPr="00150548" w:rsidRDefault="00150548" w:rsidP="00150548">
      <w:pPr>
        <w:jc w:val="both"/>
        <w:rPr>
          <w:rFonts w:asciiTheme="majorHAnsi" w:hAnsiTheme="majorHAnsi" w:cstheme="majorHAnsi"/>
          <w:lang w:val="es-CO"/>
        </w:rPr>
      </w:pPr>
    </w:p>
    <w:p w14:paraId="0B4AE80F" w14:textId="570E6F70" w:rsidR="005A60AD" w:rsidRPr="00150548" w:rsidRDefault="00BC1609" w:rsidP="00633439">
      <w:pPr>
        <w:jc w:val="both"/>
        <w:rPr>
          <w:rFonts w:asciiTheme="majorHAnsi" w:hAnsiTheme="majorHAnsi" w:cstheme="majorHAnsi"/>
          <w:b/>
          <w:lang w:val="es-CO"/>
        </w:rPr>
      </w:pPr>
      <w:r w:rsidRPr="00150548">
        <w:rPr>
          <w:rFonts w:asciiTheme="majorHAnsi" w:hAnsiTheme="majorHAnsi" w:cstheme="majorHAnsi"/>
          <w:b/>
          <w:lang w:val="es-CO"/>
        </w:rPr>
        <w:t>Productividad por Hectárea</w:t>
      </w:r>
    </w:p>
    <w:p w14:paraId="7433FAAC" w14:textId="04A0D3C7" w:rsidR="0059634C" w:rsidRPr="0059634C" w:rsidRDefault="0059634C" w:rsidP="0059634C">
      <w:pPr>
        <w:jc w:val="both"/>
        <w:rPr>
          <w:rFonts w:asciiTheme="majorHAnsi" w:hAnsiTheme="majorHAnsi" w:cstheme="majorHAnsi"/>
          <w:lang w:val="es-CO"/>
        </w:rPr>
      </w:pPr>
      <w:r w:rsidRPr="0059634C">
        <w:rPr>
          <w:rFonts w:asciiTheme="majorHAnsi" w:hAnsiTheme="majorHAnsi" w:cstheme="majorHAnsi"/>
          <w:lang w:val="es-CO"/>
        </w:rPr>
        <w:t>La productividad por hectárea aumentó durante el periodo estudiado, pasando de estar entre 15 y 17 toneladas por hectárea en 2023, a oscilar entre 17 y 19 toneladas por hectárea en 2025. Sin embargo, debido a que los costos por hectárea también aumentaron, el costo por tonelada producida no experimentó grandes variaciones. Además, aunque la producción de yuca creció, la caída en los precios redujo los ingresos por tonelada, lo que resultó en una disminución significati</w:t>
      </w:r>
      <w:r>
        <w:rPr>
          <w:rFonts w:asciiTheme="majorHAnsi" w:hAnsiTheme="majorHAnsi" w:cstheme="majorHAnsi"/>
          <w:lang w:val="es-CO"/>
        </w:rPr>
        <w:t>va de los márgenes de ganancia.</w:t>
      </w:r>
    </w:p>
    <w:p w14:paraId="57BE1AD4" w14:textId="35A16E80" w:rsidR="0059634C" w:rsidRPr="0059634C" w:rsidRDefault="0059634C" w:rsidP="0059634C">
      <w:pPr>
        <w:jc w:val="both"/>
        <w:rPr>
          <w:rFonts w:asciiTheme="majorHAnsi" w:hAnsiTheme="majorHAnsi" w:cstheme="majorHAnsi"/>
          <w:lang w:val="es-CO"/>
        </w:rPr>
      </w:pPr>
      <w:r w:rsidRPr="0059634C">
        <w:rPr>
          <w:rFonts w:asciiTheme="majorHAnsi" w:hAnsiTheme="majorHAnsi" w:cstheme="majorHAnsi"/>
          <w:lang w:val="es-CO"/>
        </w:rPr>
        <w:t>Esta tendencia sugiere un posible impacto positivo en la productividad gracias a las variedades de yuca liberadas por Agrosavia, especialmente la</w:t>
      </w:r>
      <w:r w:rsidR="00965C9B">
        <w:rPr>
          <w:rFonts w:asciiTheme="majorHAnsi" w:hAnsiTheme="majorHAnsi" w:cstheme="majorHAnsi"/>
          <w:lang w:val="es-CO"/>
        </w:rPr>
        <w:t>s</w:t>
      </w:r>
      <w:r w:rsidRPr="0059634C">
        <w:rPr>
          <w:rFonts w:asciiTheme="majorHAnsi" w:hAnsiTheme="majorHAnsi" w:cstheme="majorHAnsi"/>
          <w:lang w:val="es-CO"/>
        </w:rPr>
        <w:t xml:space="preserve"> variedad</w:t>
      </w:r>
      <w:r w:rsidR="00965C9B">
        <w:rPr>
          <w:rFonts w:asciiTheme="majorHAnsi" w:hAnsiTheme="majorHAnsi" w:cstheme="majorHAnsi"/>
          <w:lang w:val="es-CO"/>
        </w:rPr>
        <w:t>es</w:t>
      </w:r>
      <w:r w:rsidRPr="0059634C">
        <w:rPr>
          <w:rFonts w:asciiTheme="majorHAnsi" w:hAnsiTheme="majorHAnsi" w:cstheme="majorHAnsi"/>
          <w:lang w:val="es-CO"/>
        </w:rPr>
        <w:t xml:space="preserve"> M</w:t>
      </w:r>
      <w:r w:rsidR="00251740">
        <w:rPr>
          <w:rFonts w:asciiTheme="majorHAnsi" w:hAnsiTheme="majorHAnsi" w:cstheme="majorHAnsi"/>
          <w:lang w:val="es-CO"/>
        </w:rPr>
        <w:t>-</w:t>
      </w:r>
      <w:r w:rsidRPr="0059634C">
        <w:rPr>
          <w:rFonts w:asciiTheme="majorHAnsi" w:hAnsiTheme="majorHAnsi" w:cstheme="majorHAnsi"/>
          <w:lang w:val="es-CO"/>
        </w:rPr>
        <w:t>Tai</w:t>
      </w:r>
      <w:r w:rsidR="00B417BC">
        <w:rPr>
          <w:rFonts w:asciiTheme="majorHAnsi" w:hAnsiTheme="majorHAnsi" w:cstheme="majorHAnsi"/>
          <w:lang w:val="es-CO"/>
        </w:rPr>
        <w:t xml:space="preserve"> y Belloti</w:t>
      </w:r>
      <w:r w:rsidRPr="0059634C">
        <w:rPr>
          <w:rFonts w:asciiTheme="majorHAnsi" w:hAnsiTheme="majorHAnsi" w:cstheme="majorHAnsi"/>
          <w:lang w:val="es-CO"/>
        </w:rPr>
        <w:t xml:space="preserve">. No obstante, se requieren estudios más rigurosos para confirmar esta causalidad. Independientemente de si el aumento en la productividad fue atribuido a estas variedades, su impacto ayudó a amortiguar el aumento en el costo promedio por tonelada, que estuvo principalmente asociado a un incremento de los costos fijos, como el arriendo de tierras y la mano de obra. Sin este aumento en productividad, los costos </w:t>
      </w:r>
      <w:r>
        <w:rPr>
          <w:rFonts w:asciiTheme="majorHAnsi" w:hAnsiTheme="majorHAnsi" w:cstheme="majorHAnsi"/>
          <w:lang w:val="es-CO"/>
        </w:rPr>
        <w:t xml:space="preserve">por tonelada </w:t>
      </w:r>
      <w:r w:rsidRPr="0059634C">
        <w:rPr>
          <w:rFonts w:asciiTheme="majorHAnsi" w:hAnsiTheme="majorHAnsi" w:cstheme="majorHAnsi"/>
          <w:lang w:val="es-CO"/>
        </w:rPr>
        <w:t>habrían subido aún más.</w:t>
      </w:r>
    </w:p>
    <w:p w14:paraId="3318107B" w14:textId="77777777" w:rsidR="0059634C" w:rsidRPr="0059634C" w:rsidRDefault="0059634C" w:rsidP="0059634C">
      <w:pPr>
        <w:jc w:val="both"/>
        <w:rPr>
          <w:rFonts w:asciiTheme="majorHAnsi" w:hAnsiTheme="majorHAnsi" w:cstheme="majorHAnsi"/>
          <w:lang w:val="es-CO"/>
        </w:rPr>
      </w:pPr>
      <w:r w:rsidRPr="0059634C">
        <w:rPr>
          <w:rFonts w:asciiTheme="majorHAnsi" w:hAnsiTheme="majorHAnsi" w:cstheme="majorHAnsi"/>
          <w:lang w:val="es-CO"/>
        </w:rPr>
        <w:t>Es importante resaltar que un aumento en la productividad también podría haber contribuido a una mayor sobreoferta, lo que afectó negativamente el precio y, en consecuencia, los márgenes de ganancia. No obstante, no se dispone de suficientes datos para determinar el impacto exacto de este factor ni para identificar si la atenuación de los costos por tonelada superó el impacto de la caída de precios debido a la sobreoferta. A pesar de ello, en cualquier escenario, el aumento en la productividad representa un avance positivo, ya que acerca los costos por tonelada a los niveles de otros países y mejora la competitividad. Dado que el almidón de yuca compite con otros tipos de almidón, es crucial continuar enfocados en aumentar la productividad y reducir los costos, con el fin de mejorar la competitividad en el mercado global.</w:t>
      </w:r>
    </w:p>
    <w:p w14:paraId="0673B31A" w14:textId="77777777" w:rsidR="00BC1609" w:rsidRDefault="00BC1609" w:rsidP="00633439">
      <w:pPr>
        <w:jc w:val="both"/>
        <w:rPr>
          <w:rFonts w:asciiTheme="majorHAnsi" w:hAnsiTheme="majorHAnsi" w:cstheme="majorHAnsi"/>
          <w:lang w:val="es-CO"/>
        </w:rPr>
      </w:pPr>
    </w:p>
    <w:p w14:paraId="35E60E71" w14:textId="77777777" w:rsidR="0059634C" w:rsidRDefault="0059634C" w:rsidP="0059634C">
      <w:pPr>
        <w:jc w:val="both"/>
        <w:rPr>
          <w:rFonts w:asciiTheme="majorHAnsi" w:hAnsiTheme="majorHAnsi" w:cstheme="majorHAnsi"/>
          <w:lang w:val="es-CO"/>
        </w:rPr>
      </w:pPr>
    </w:p>
    <w:p w14:paraId="0DE523F1" w14:textId="77777777" w:rsidR="0059634C" w:rsidRPr="0059634C" w:rsidRDefault="0059634C" w:rsidP="0059634C">
      <w:pPr>
        <w:jc w:val="both"/>
        <w:rPr>
          <w:rFonts w:asciiTheme="majorHAnsi" w:hAnsiTheme="majorHAnsi" w:cstheme="majorHAnsi"/>
          <w:b/>
          <w:lang w:val="es-CO"/>
        </w:rPr>
      </w:pPr>
      <w:r w:rsidRPr="0059634C">
        <w:rPr>
          <w:rFonts w:asciiTheme="majorHAnsi" w:hAnsiTheme="majorHAnsi" w:cstheme="majorHAnsi"/>
          <w:b/>
          <w:lang w:val="es-CO"/>
        </w:rPr>
        <w:lastRenderedPageBreak/>
        <w:t>Empleos generados</w:t>
      </w:r>
    </w:p>
    <w:p w14:paraId="55864A74" w14:textId="1653F690" w:rsidR="00350932" w:rsidRPr="00350932" w:rsidRDefault="00350932" w:rsidP="00350932">
      <w:pPr>
        <w:jc w:val="both"/>
        <w:rPr>
          <w:rFonts w:asciiTheme="majorHAnsi" w:hAnsiTheme="majorHAnsi" w:cstheme="majorHAnsi"/>
          <w:lang w:val="es-CO"/>
        </w:rPr>
      </w:pPr>
      <w:r w:rsidRPr="00350932">
        <w:rPr>
          <w:rFonts w:asciiTheme="majorHAnsi" w:hAnsiTheme="majorHAnsi" w:cstheme="majorHAnsi"/>
          <w:lang w:val="es-CO"/>
        </w:rPr>
        <w:t xml:space="preserve">La yuca es un cultivo altamente intensivo en mano de obra. Muchos de sus procesos requieren habilidades específicas, como es el caso de la recolección, que se realiza principalmente de forma manual. Los únicos procesos mecanizados, en algunos casos, son la preparación de la tierra (arado) y el transporte de la yuca una vez cosechada. El resto de las actividades se lleva a cabo por jornaleros, lo que implica una gran demanda de mano de obra. En general, los jornaleros trabajan por día, aunque en ocasiones laboran durante varias semanas seguidas, lo que genera una alta informalidad en el sector. En 2025, el jornal promedio estaba entre </w:t>
      </w:r>
      <w:r>
        <w:rPr>
          <w:rFonts w:asciiTheme="majorHAnsi" w:hAnsiTheme="majorHAnsi" w:cstheme="majorHAnsi"/>
          <w:lang w:val="es-CO"/>
        </w:rPr>
        <w:t>$</w:t>
      </w:r>
      <w:r w:rsidRPr="00350932">
        <w:rPr>
          <w:rFonts w:asciiTheme="majorHAnsi" w:hAnsiTheme="majorHAnsi" w:cstheme="majorHAnsi"/>
          <w:lang w:val="es-CO"/>
        </w:rPr>
        <w:t>40</w:t>
      </w:r>
      <w:r w:rsidR="00CE6E0F">
        <w:rPr>
          <w:rFonts w:asciiTheme="majorHAnsi" w:hAnsiTheme="majorHAnsi" w:cstheme="majorHAnsi"/>
          <w:lang w:val="es-CO"/>
        </w:rPr>
        <w:t>.</w:t>
      </w:r>
      <w:r w:rsidRPr="00350932">
        <w:rPr>
          <w:rFonts w:asciiTheme="majorHAnsi" w:hAnsiTheme="majorHAnsi" w:cstheme="majorHAnsi"/>
          <w:lang w:val="es-CO"/>
        </w:rPr>
        <w:t xml:space="preserve">000 y </w:t>
      </w:r>
      <w:r>
        <w:rPr>
          <w:rFonts w:asciiTheme="majorHAnsi" w:hAnsiTheme="majorHAnsi" w:cstheme="majorHAnsi"/>
          <w:lang w:val="es-CO"/>
        </w:rPr>
        <w:t>$</w:t>
      </w:r>
      <w:r w:rsidRPr="00350932">
        <w:rPr>
          <w:rFonts w:asciiTheme="majorHAnsi" w:hAnsiTheme="majorHAnsi" w:cstheme="majorHAnsi"/>
          <w:lang w:val="es-CO"/>
        </w:rPr>
        <w:t>45</w:t>
      </w:r>
      <w:r w:rsidR="00CE6E0F">
        <w:rPr>
          <w:rFonts w:asciiTheme="majorHAnsi" w:hAnsiTheme="majorHAnsi" w:cstheme="majorHAnsi"/>
          <w:lang w:val="es-CO"/>
        </w:rPr>
        <w:t>.</w:t>
      </w:r>
      <w:r w:rsidRPr="00350932">
        <w:rPr>
          <w:rFonts w:asciiTheme="majorHAnsi" w:hAnsiTheme="majorHAnsi" w:cstheme="majorHAnsi"/>
          <w:lang w:val="es-CO"/>
        </w:rPr>
        <w:t xml:space="preserve">000 pesos diarios, lo que significa que, trabajando 22 días al mes, un jornalero podría ganar entre </w:t>
      </w:r>
      <w:r>
        <w:rPr>
          <w:rFonts w:asciiTheme="majorHAnsi" w:hAnsiTheme="majorHAnsi" w:cstheme="majorHAnsi"/>
          <w:lang w:val="es-CO"/>
        </w:rPr>
        <w:t>$</w:t>
      </w:r>
      <w:r w:rsidRPr="00350932">
        <w:rPr>
          <w:rFonts w:asciiTheme="majorHAnsi" w:hAnsiTheme="majorHAnsi" w:cstheme="majorHAnsi"/>
          <w:lang w:val="es-CO"/>
        </w:rPr>
        <w:t>900</w:t>
      </w:r>
      <w:r w:rsidR="00CE6E0F">
        <w:rPr>
          <w:rFonts w:asciiTheme="majorHAnsi" w:hAnsiTheme="majorHAnsi" w:cstheme="majorHAnsi"/>
          <w:lang w:val="es-CO"/>
        </w:rPr>
        <w:t>.0</w:t>
      </w:r>
      <w:r w:rsidRPr="00350932">
        <w:rPr>
          <w:rFonts w:asciiTheme="majorHAnsi" w:hAnsiTheme="majorHAnsi" w:cstheme="majorHAnsi"/>
          <w:lang w:val="es-CO"/>
        </w:rPr>
        <w:t xml:space="preserve">00 y </w:t>
      </w:r>
      <w:r>
        <w:rPr>
          <w:rFonts w:asciiTheme="majorHAnsi" w:hAnsiTheme="majorHAnsi" w:cstheme="majorHAnsi"/>
          <w:lang w:val="es-CO"/>
        </w:rPr>
        <w:t>$</w:t>
      </w:r>
      <w:r w:rsidRPr="00350932">
        <w:rPr>
          <w:rFonts w:asciiTheme="majorHAnsi" w:hAnsiTheme="majorHAnsi" w:cstheme="majorHAnsi"/>
          <w:lang w:val="es-CO"/>
        </w:rPr>
        <w:t>1</w:t>
      </w:r>
      <w:r w:rsidR="00CE6E0F">
        <w:rPr>
          <w:rFonts w:asciiTheme="majorHAnsi" w:hAnsiTheme="majorHAnsi" w:cstheme="majorHAnsi"/>
          <w:lang w:val="es-CO"/>
        </w:rPr>
        <w:t>.</w:t>
      </w:r>
      <w:r w:rsidRPr="00350932">
        <w:rPr>
          <w:rFonts w:asciiTheme="majorHAnsi" w:hAnsiTheme="majorHAnsi" w:cstheme="majorHAnsi"/>
          <w:lang w:val="es-CO"/>
        </w:rPr>
        <w:t>000</w:t>
      </w:r>
      <w:r w:rsidR="00CE6E0F">
        <w:rPr>
          <w:rFonts w:asciiTheme="majorHAnsi" w:hAnsiTheme="majorHAnsi" w:cstheme="majorHAnsi"/>
          <w:lang w:val="es-CO"/>
        </w:rPr>
        <w:t>.</w:t>
      </w:r>
      <w:r w:rsidRPr="00350932">
        <w:rPr>
          <w:rFonts w:asciiTheme="majorHAnsi" w:hAnsiTheme="majorHAnsi" w:cstheme="majorHAnsi"/>
          <w:lang w:val="es-CO"/>
        </w:rPr>
        <w:t xml:space="preserve">000 de pesos mensuales. Aunque el costo de vida en Córdoba y Sucre es generalmente más bajo que en otras regiones del país, este ingreso se encuentra por debajo del salario mínimo nacional, que es de </w:t>
      </w:r>
      <w:r w:rsidR="00CE6E0F">
        <w:rPr>
          <w:rFonts w:asciiTheme="majorHAnsi" w:hAnsiTheme="majorHAnsi" w:cstheme="majorHAnsi"/>
          <w:lang w:val="es-CO"/>
        </w:rPr>
        <w:t>$</w:t>
      </w:r>
      <w:r w:rsidRPr="00350932">
        <w:rPr>
          <w:rFonts w:asciiTheme="majorHAnsi" w:hAnsiTheme="majorHAnsi" w:cstheme="majorHAnsi"/>
          <w:lang w:val="es-CO"/>
        </w:rPr>
        <w:t>1</w:t>
      </w:r>
      <w:r w:rsidR="00CE6E0F">
        <w:rPr>
          <w:rFonts w:asciiTheme="majorHAnsi" w:hAnsiTheme="majorHAnsi" w:cstheme="majorHAnsi"/>
          <w:lang w:val="es-CO"/>
        </w:rPr>
        <w:t>.</w:t>
      </w:r>
      <w:r w:rsidRPr="00350932">
        <w:rPr>
          <w:rFonts w:asciiTheme="majorHAnsi" w:hAnsiTheme="majorHAnsi" w:cstheme="majorHAnsi"/>
          <w:lang w:val="es-CO"/>
        </w:rPr>
        <w:t>423</w:t>
      </w:r>
      <w:r w:rsidR="00CE6E0F">
        <w:rPr>
          <w:rFonts w:asciiTheme="majorHAnsi" w:hAnsiTheme="majorHAnsi" w:cstheme="majorHAnsi"/>
          <w:lang w:val="es-CO"/>
        </w:rPr>
        <w:t>.</w:t>
      </w:r>
      <w:r w:rsidRPr="00350932">
        <w:rPr>
          <w:rFonts w:asciiTheme="majorHAnsi" w:hAnsiTheme="majorHAnsi" w:cstheme="majorHAnsi"/>
          <w:lang w:val="es-CO"/>
        </w:rPr>
        <w:t>500</w:t>
      </w:r>
      <w:r w:rsidR="00CE6E0F">
        <w:rPr>
          <w:rFonts w:asciiTheme="majorHAnsi" w:hAnsiTheme="majorHAnsi" w:cstheme="majorHAnsi"/>
          <w:lang w:val="es-CO"/>
        </w:rPr>
        <w:t xml:space="preserve"> de</w:t>
      </w:r>
      <w:r w:rsidRPr="00350932">
        <w:rPr>
          <w:rFonts w:asciiTheme="majorHAnsi" w:hAnsiTheme="majorHAnsi" w:cstheme="majorHAnsi"/>
          <w:lang w:val="es-CO"/>
        </w:rPr>
        <w:t xml:space="preserve"> pesos mensuales (o </w:t>
      </w:r>
      <w:r w:rsidR="00CE6E0F">
        <w:rPr>
          <w:rFonts w:asciiTheme="majorHAnsi" w:hAnsiTheme="majorHAnsi" w:cstheme="majorHAnsi"/>
          <w:lang w:val="es-CO"/>
        </w:rPr>
        <w:t>$</w:t>
      </w:r>
      <w:r w:rsidRPr="00350932">
        <w:rPr>
          <w:rFonts w:asciiTheme="majorHAnsi" w:hAnsiTheme="majorHAnsi" w:cstheme="majorHAnsi"/>
          <w:lang w:val="es-CO"/>
        </w:rPr>
        <w:t>1</w:t>
      </w:r>
      <w:r w:rsidR="00CE6E0F">
        <w:rPr>
          <w:rFonts w:asciiTheme="majorHAnsi" w:hAnsiTheme="majorHAnsi" w:cstheme="majorHAnsi"/>
          <w:lang w:val="es-CO"/>
        </w:rPr>
        <w:t>.</w:t>
      </w:r>
      <w:r w:rsidRPr="00350932">
        <w:rPr>
          <w:rFonts w:asciiTheme="majorHAnsi" w:hAnsiTheme="majorHAnsi" w:cstheme="majorHAnsi"/>
          <w:lang w:val="es-CO"/>
        </w:rPr>
        <w:t>623</w:t>
      </w:r>
      <w:r w:rsidR="00CE6E0F">
        <w:rPr>
          <w:rFonts w:asciiTheme="majorHAnsi" w:hAnsiTheme="majorHAnsi" w:cstheme="majorHAnsi"/>
          <w:lang w:val="es-CO"/>
        </w:rPr>
        <w:t>.</w:t>
      </w:r>
      <w:r w:rsidRPr="00350932">
        <w:rPr>
          <w:rFonts w:asciiTheme="majorHAnsi" w:hAnsiTheme="majorHAnsi" w:cstheme="majorHAnsi"/>
          <w:lang w:val="es-CO"/>
        </w:rPr>
        <w:t>500 pesos</w:t>
      </w:r>
      <w:r w:rsidR="00CE6E0F">
        <w:rPr>
          <w:rFonts w:asciiTheme="majorHAnsi" w:hAnsiTheme="majorHAnsi" w:cstheme="majorHAnsi"/>
          <w:lang w:val="es-CO"/>
        </w:rPr>
        <w:t>,</w:t>
      </w:r>
      <w:r w:rsidRPr="00350932">
        <w:rPr>
          <w:rFonts w:asciiTheme="majorHAnsi" w:hAnsiTheme="majorHAnsi" w:cstheme="majorHAnsi"/>
          <w:lang w:val="es-CO"/>
        </w:rPr>
        <w:t xml:space="preserve"> </w:t>
      </w:r>
      <w:r w:rsidR="00CE6E0F">
        <w:rPr>
          <w:rFonts w:asciiTheme="majorHAnsi" w:hAnsiTheme="majorHAnsi" w:cstheme="majorHAnsi"/>
          <w:lang w:val="es-CO"/>
        </w:rPr>
        <w:t xml:space="preserve">incluyendo </w:t>
      </w:r>
      <w:r>
        <w:rPr>
          <w:rFonts w:asciiTheme="majorHAnsi" w:hAnsiTheme="majorHAnsi" w:cstheme="majorHAnsi"/>
          <w:lang w:val="es-CO"/>
        </w:rPr>
        <w:t>el auxilio de transporte).</w:t>
      </w:r>
    </w:p>
    <w:p w14:paraId="3783A9F3" w14:textId="028DA036" w:rsidR="00350932" w:rsidRDefault="00350932" w:rsidP="00350932">
      <w:pPr>
        <w:jc w:val="both"/>
        <w:rPr>
          <w:rFonts w:asciiTheme="majorHAnsi" w:hAnsiTheme="majorHAnsi" w:cstheme="majorHAnsi"/>
          <w:lang w:val="es-CO"/>
        </w:rPr>
      </w:pPr>
      <w:r w:rsidRPr="00350932">
        <w:rPr>
          <w:rFonts w:asciiTheme="majorHAnsi" w:hAnsiTheme="majorHAnsi" w:cstheme="majorHAnsi"/>
          <w:lang w:val="es-CO"/>
        </w:rPr>
        <w:t>Por otro lado, se ha venido observando una creciente escasez de jornaleros dispuestos a trabajar la tierra, ya que muchos jóvenes buscan oportunidades en las zonas urbanas. Este fenómeno se presenta en diversas zonas rurales a nivel mundial, donde no se está dando el relevo generacional necesario. Dado que esta tendencia probablemente continuará e incluso se intensificará (por ejemplo, las tasas de natalidad a nivel mundial están disminuyendo, incluyendo Colombia), es probable que se presenten dos escenarios: el aumento de los costos de mano de obra debido a la creciente escasez de trabajadores y/o la necesidad de mayor mecanización para cubrir las actividades. En cualquiera de estos casos, que podrían ocurrir de manera simultánea, la implicación directa sería un aumento gradual de los costos, ya sea en mano de ob</w:t>
      </w:r>
      <w:r>
        <w:rPr>
          <w:rFonts w:asciiTheme="majorHAnsi" w:hAnsiTheme="majorHAnsi" w:cstheme="majorHAnsi"/>
          <w:lang w:val="es-CO"/>
        </w:rPr>
        <w:t>ra o en alquiler de maquinaria.</w:t>
      </w:r>
    </w:p>
    <w:p w14:paraId="22759D8D" w14:textId="77777777" w:rsidR="00350932" w:rsidRDefault="00350932" w:rsidP="00CE6E0F">
      <w:pPr>
        <w:jc w:val="right"/>
        <w:rPr>
          <w:rFonts w:asciiTheme="majorHAnsi" w:hAnsiTheme="majorHAnsi" w:cstheme="majorHAnsi"/>
          <w:lang w:val="es-CO"/>
        </w:rPr>
      </w:pPr>
    </w:p>
    <w:p w14:paraId="5B932172" w14:textId="77777777" w:rsidR="00CE6E0F" w:rsidRPr="00CE6E0F" w:rsidRDefault="00CE6E0F" w:rsidP="00CE6E0F">
      <w:pPr>
        <w:jc w:val="both"/>
        <w:rPr>
          <w:rFonts w:asciiTheme="majorHAnsi" w:hAnsiTheme="majorHAnsi" w:cstheme="majorHAnsi"/>
          <w:lang w:val="es-CO"/>
        </w:rPr>
      </w:pPr>
      <w:r w:rsidRPr="00CE6E0F">
        <w:rPr>
          <w:rFonts w:asciiTheme="majorHAnsi" w:hAnsiTheme="majorHAnsi" w:cstheme="majorHAnsi"/>
          <w:lang w:val="es-CO"/>
        </w:rPr>
        <w:t>En resumen, entre 2023 y 2025 las condiciones económicas a lo largo de la cadena de valor de la yuca experimentaron cambios significativos, principalmente debido a la alta fluctuación de los precios del almidón de yuca, que afectó todos los eslabones de la cadena. Los costos de producción, especialmente en el eslabón de la producción del cultivo, aumentaron en línea con el auge de los precios en 2023. Sin embargo, una vez que los precios cayeron, los costos se mantuvieron elevados, lo que redujo considerablemente los márgenes de ganancia de los agricultores, llevando incluso a la quiebra de varios de ellos.</w:t>
      </w:r>
    </w:p>
    <w:p w14:paraId="0AF36F8E" w14:textId="77777777" w:rsidR="00CE6E0F" w:rsidRPr="00CE6E0F" w:rsidRDefault="00CE6E0F" w:rsidP="00CE6E0F">
      <w:pPr>
        <w:jc w:val="both"/>
        <w:rPr>
          <w:rFonts w:asciiTheme="majorHAnsi" w:hAnsiTheme="majorHAnsi" w:cstheme="majorHAnsi"/>
          <w:lang w:val="es-CO"/>
        </w:rPr>
      </w:pPr>
      <w:r w:rsidRPr="00CE6E0F">
        <w:rPr>
          <w:rFonts w:asciiTheme="majorHAnsi" w:hAnsiTheme="majorHAnsi" w:cstheme="majorHAnsi"/>
          <w:lang w:val="es-CO"/>
        </w:rPr>
        <w:t>El cultivo de la yuca es una actividad intensiva en mano de obra, ya que, a pesar de los avances en otros sectores, aún existen fases del proceso que no han sido mecanizadas. Esto genera una alta demanda de jornales de trabajo para tareas como la cosecha y el transporte de las raíces. No obstante, estos empleos son en su mayoría informales, lo que añade un nivel de incertidumbre y precariedad a las condiciones laborales del sector.</w:t>
      </w:r>
    </w:p>
    <w:p w14:paraId="380B6285" w14:textId="77777777" w:rsidR="00CE6E0F" w:rsidRPr="00CE6E0F" w:rsidRDefault="00CE6E0F" w:rsidP="00CE6E0F">
      <w:pPr>
        <w:jc w:val="both"/>
        <w:rPr>
          <w:rFonts w:asciiTheme="majorHAnsi" w:hAnsiTheme="majorHAnsi" w:cstheme="majorHAnsi"/>
          <w:lang w:val="es-CO"/>
        </w:rPr>
      </w:pPr>
    </w:p>
    <w:p w14:paraId="63CB91F9" w14:textId="77777777" w:rsidR="00CE6E0F" w:rsidRDefault="00CE6E0F" w:rsidP="00CE6E0F">
      <w:pPr>
        <w:jc w:val="both"/>
        <w:rPr>
          <w:rFonts w:asciiTheme="majorHAnsi" w:hAnsiTheme="majorHAnsi" w:cstheme="majorHAnsi"/>
          <w:lang w:val="es-CO"/>
        </w:rPr>
      </w:pPr>
    </w:p>
    <w:p w14:paraId="5F8CE54A" w14:textId="77777777" w:rsidR="00BC1609" w:rsidRDefault="00BC1609" w:rsidP="00633439">
      <w:pPr>
        <w:jc w:val="both"/>
        <w:rPr>
          <w:rFonts w:asciiTheme="majorHAnsi" w:hAnsiTheme="majorHAnsi" w:cstheme="majorHAnsi"/>
          <w:lang w:val="es-CO"/>
        </w:rPr>
      </w:pPr>
    </w:p>
    <w:p w14:paraId="651407A4" w14:textId="020778D9" w:rsidR="00CE6E0F" w:rsidRPr="00CE6E0F" w:rsidRDefault="00BC1609" w:rsidP="00CE6E0F">
      <w:pPr>
        <w:jc w:val="both"/>
        <w:rPr>
          <w:rFonts w:asciiTheme="majorHAnsi" w:hAnsiTheme="majorHAnsi" w:cstheme="majorHAnsi"/>
          <w:b/>
          <w:lang w:val="es-CO"/>
        </w:rPr>
      </w:pPr>
      <w:r w:rsidRPr="00CE6E0F">
        <w:rPr>
          <w:rFonts w:asciiTheme="majorHAnsi" w:hAnsiTheme="majorHAnsi" w:cstheme="majorHAnsi"/>
          <w:b/>
          <w:lang w:val="es-CO"/>
        </w:rPr>
        <w:lastRenderedPageBreak/>
        <w:t xml:space="preserve">Transformación </w:t>
      </w:r>
    </w:p>
    <w:p w14:paraId="65ADE832" w14:textId="120E9CDF" w:rsidR="00CE6E0F" w:rsidRPr="00CE6E0F" w:rsidRDefault="00CE6E0F" w:rsidP="00CE6E0F">
      <w:pPr>
        <w:jc w:val="both"/>
        <w:rPr>
          <w:rFonts w:asciiTheme="majorHAnsi" w:hAnsiTheme="majorHAnsi" w:cstheme="majorHAnsi"/>
          <w:lang w:val="es-CO"/>
        </w:rPr>
      </w:pPr>
      <w:r w:rsidRPr="00CE6E0F">
        <w:rPr>
          <w:rFonts w:asciiTheme="majorHAnsi" w:hAnsiTheme="majorHAnsi" w:cstheme="majorHAnsi"/>
          <w:lang w:val="es-CO"/>
        </w:rPr>
        <w:t xml:space="preserve">La capacidad instalada para la transformación de almidón se ha mantenido sin cambios. Dado que esta capacidad aún no ha aumentado y las hectáreas de yuca superan ampliamente la capacidad de transformación, una parte de la yuca fresca no será adquirida por las almidoneras. En </w:t>
      </w:r>
      <w:r w:rsidR="00CB290E">
        <w:rPr>
          <w:rFonts w:asciiTheme="majorHAnsi" w:hAnsiTheme="majorHAnsi" w:cstheme="majorHAnsi"/>
          <w:lang w:val="es-CO"/>
        </w:rPr>
        <w:t xml:space="preserve">este </w:t>
      </w:r>
      <w:r w:rsidRPr="00CE6E0F">
        <w:rPr>
          <w:rFonts w:asciiTheme="majorHAnsi" w:hAnsiTheme="majorHAnsi" w:cstheme="majorHAnsi"/>
          <w:lang w:val="es-CO"/>
        </w:rPr>
        <w:t xml:space="preserve">escenario en el que </w:t>
      </w:r>
      <w:r w:rsidR="00CB290E">
        <w:rPr>
          <w:rFonts w:asciiTheme="majorHAnsi" w:hAnsiTheme="majorHAnsi" w:cstheme="majorHAnsi"/>
          <w:lang w:val="es-CO"/>
        </w:rPr>
        <w:t>la demanda de yuca fresca supera</w:t>
      </w:r>
      <w:r w:rsidRPr="00CE6E0F">
        <w:rPr>
          <w:rFonts w:asciiTheme="majorHAnsi" w:hAnsiTheme="majorHAnsi" w:cstheme="majorHAnsi"/>
          <w:lang w:val="es-CO"/>
        </w:rPr>
        <w:t xml:space="preserve"> la capacidad de procesamiento, es probable que solo unos pocos productores, los más productivos, sigan abasteciendo el mercado, desplazando a los menos productivos. Desde la perspectiva de los transformadores, esto representaría una forma de seleccionar a los productores más eficientes, además de presionar a los demás para que aumenten su productividad, lo que permitiría reducir los costos de las raíces, el principal gasto en la tra</w:t>
      </w:r>
      <w:r>
        <w:rPr>
          <w:rFonts w:asciiTheme="majorHAnsi" w:hAnsiTheme="majorHAnsi" w:cstheme="majorHAnsi"/>
          <w:lang w:val="es-CO"/>
        </w:rPr>
        <w:t>nsformación de almidón.</w:t>
      </w:r>
    </w:p>
    <w:p w14:paraId="5BB1AF23" w14:textId="55A4E516" w:rsidR="00CE6E0F" w:rsidRPr="00CE6E0F" w:rsidRDefault="00CE6E0F" w:rsidP="00CE6E0F">
      <w:pPr>
        <w:jc w:val="both"/>
        <w:rPr>
          <w:rFonts w:asciiTheme="majorHAnsi" w:hAnsiTheme="majorHAnsi" w:cstheme="majorHAnsi"/>
          <w:lang w:val="es-CO"/>
        </w:rPr>
      </w:pPr>
      <w:r w:rsidRPr="00CE6E0F">
        <w:rPr>
          <w:rFonts w:asciiTheme="majorHAnsi" w:hAnsiTheme="majorHAnsi" w:cstheme="majorHAnsi"/>
          <w:lang w:val="es-CO"/>
        </w:rPr>
        <w:t>Sin embargo, desde un punto de vista de mercado, la oferta actual de almidón local no es suficiente para cubrir la demanda nacional, lo que lleva a la importación de millones de toneladas de almidón anualmente. Esto sugiere que aún existe un espacio considerable para ampliar la capacidad instalada de transformación de almidón en el país. Ampliar esta capacidad permitiría que más productores tuvieran un mercado asegurado para sus cultivos, lo que incrementaría la producción total y aumentaría las probabilidades de generar economías de escala, mejorando la competitividad del sector</w:t>
      </w:r>
      <w:r w:rsidR="00CB290E">
        <w:rPr>
          <w:rFonts w:asciiTheme="majorHAnsi" w:hAnsiTheme="majorHAnsi" w:cstheme="majorHAnsi"/>
          <w:lang w:val="es-CO"/>
        </w:rPr>
        <w:t xml:space="preserve"> a largo plazo</w:t>
      </w:r>
      <w:r w:rsidRPr="00CE6E0F">
        <w:rPr>
          <w:rFonts w:asciiTheme="majorHAnsi" w:hAnsiTheme="majorHAnsi" w:cstheme="majorHAnsi"/>
          <w:lang w:val="es-CO"/>
        </w:rPr>
        <w:t>.</w:t>
      </w:r>
    </w:p>
    <w:p w14:paraId="2CB19485" w14:textId="77777777" w:rsidR="00FD33D0" w:rsidRDefault="00FD33D0" w:rsidP="00633439">
      <w:pPr>
        <w:jc w:val="both"/>
        <w:rPr>
          <w:rFonts w:asciiTheme="majorHAnsi" w:hAnsiTheme="majorHAnsi" w:cstheme="majorHAnsi"/>
          <w:lang w:val="es-CO"/>
        </w:rPr>
      </w:pPr>
    </w:p>
    <w:p w14:paraId="700F3B34" w14:textId="77777777" w:rsidR="00FD33D0" w:rsidRDefault="00FD33D0" w:rsidP="00633439">
      <w:pPr>
        <w:jc w:val="both"/>
        <w:rPr>
          <w:rFonts w:asciiTheme="majorHAnsi" w:hAnsiTheme="majorHAnsi" w:cstheme="majorHAnsi"/>
          <w:lang w:val="es-CO"/>
        </w:rPr>
      </w:pPr>
    </w:p>
    <w:p w14:paraId="0B33E8DB" w14:textId="77777777" w:rsidR="00633439" w:rsidRDefault="00633439" w:rsidP="00955648">
      <w:pPr>
        <w:jc w:val="both"/>
        <w:rPr>
          <w:rFonts w:asciiTheme="majorHAnsi" w:hAnsiTheme="majorHAnsi" w:cstheme="majorHAnsi"/>
          <w:lang w:val="es-CO"/>
        </w:rPr>
      </w:pPr>
    </w:p>
    <w:p w14:paraId="042A6B38" w14:textId="77777777" w:rsidR="00D469CC" w:rsidRDefault="00D469CC" w:rsidP="00955648">
      <w:pPr>
        <w:jc w:val="both"/>
        <w:rPr>
          <w:rFonts w:asciiTheme="majorHAnsi" w:hAnsiTheme="majorHAnsi" w:cstheme="majorHAnsi"/>
          <w:lang w:val="es-CO"/>
        </w:rPr>
      </w:pPr>
    </w:p>
    <w:p w14:paraId="2DEC075C" w14:textId="77777777" w:rsidR="00D469CC" w:rsidRPr="00461E7E" w:rsidRDefault="00D469CC" w:rsidP="00955648">
      <w:pPr>
        <w:jc w:val="both"/>
        <w:rPr>
          <w:rFonts w:asciiTheme="majorHAnsi" w:hAnsiTheme="majorHAnsi" w:cstheme="majorHAnsi"/>
          <w:lang w:val="es-CO"/>
        </w:rPr>
      </w:pPr>
    </w:p>
    <w:p w14:paraId="14711007" w14:textId="77777777" w:rsidR="00CB290E" w:rsidRDefault="00CB290E">
      <w:pPr>
        <w:spacing w:after="0" w:line="240" w:lineRule="auto"/>
        <w:ind w:right="0"/>
        <w:rPr>
          <w:rFonts w:asciiTheme="majorHAnsi" w:hAnsiTheme="majorHAnsi" w:cstheme="majorBidi"/>
          <w:b/>
          <w:bCs/>
          <w:color w:val="263238"/>
          <w:sz w:val="40"/>
          <w:szCs w:val="32"/>
          <w:lang w:val="es-CO"/>
        </w:rPr>
      </w:pPr>
      <w:r>
        <w:rPr>
          <w:rFonts w:asciiTheme="majorHAnsi" w:hAnsiTheme="majorHAnsi" w:cstheme="majorBidi"/>
          <w:lang w:val="es-CO"/>
        </w:rPr>
        <w:br w:type="page"/>
      </w:r>
    </w:p>
    <w:p w14:paraId="394AED3C" w14:textId="2D9DA935" w:rsidR="000F166B" w:rsidRPr="00F67D37" w:rsidRDefault="00516802" w:rsidP="00CB57A3">
      <w:pPr>
        <w:pStyle w:val="Ttulo1"/>
        <w:numPr>
          <w:ilvl w:val="0"/>
          <w:numId w:val="3"/>
        </w:numPr>
        <w:jc w:val="both"/>
        <w:rPr>
          <w:rFonts w:asciiTheme="majorHAnsi" w:hAnsiTheme="majorHAnsi" w:cstheme="majorBidi"/>
          <w:lang w:val="es-CO"/>
        </w:rPr>
      </w:pPr>
      <w:bookmarkStart w:id="14" w:name="_Toc217565994"/>
      <w:r>
        <w:rPr>
          <w:rFonts w:asciiTheme="majorHAnsi" w:hAnsiTheme="majorHAnsi" w:cstheme="majorBidi"/>
          <w:lang w:val="es-CO"/>
        </w:rPr>
        <w:lastRenderedPageBreak/>
        <w:t>Conclusiones</w:t>
      </w:r>
      <w:bookmarkEnd w:id="14"/>
    </w:p>
    <w:p w14:paraId="6C01F57E" w14:textId="77777777" w:rsidR="00725781" w:rsidRDefault="00725781" w:rsidP="00955648">
      <w:pPr>
        <w:spacing w:after="0" w:line="240" w:lineRule="auto"/>
        <w:ind w:right="0"/>
        <w:jc w:val="both"/>
        <w:rPr>
          <w:rFonts w:asciiTheme="majorHAnsi" w:hAnsiTheme="majorHAnsi" w:cstheme="majorHAnsi"/>
          <w:lang w:val="es-CO"/>
        </w:rPr>
      </w:pPr>
    </w:p>
    <w:p w14:paraId="3A24959F" w14:textId="77777777" w:rsidR="00116FA3" w:rsidRPr="00116FA3" w:rsidRDefault="00116FA3" w:rsidP="00116FA3">
      <w:pPr>
        <w:spacing w:after="0" w:line="240" w:lineRule="auto"/>
        <w:ind w:right="0"/>
        <w:jc w:val="both"/>
        <w:rPr>
          <w:rFonts w:asciiTheme="majorHAnsi" w:hAnsiTheme="majorHAnsi" w:cstheme="majorHAnsi"/>
          <w:lang w:val="es-CO"/>
        </w:rPr>
      </w:pPr>
      <w:r w:rsidRPr="00116FA3">
        <w:rPr>
          <w:rFonts w:asciiTheme="majorHAnsi" w:hAnsiTheme="majorHAnsi" w:cstheme="majorHAnsi"/>
          <w:lang w:val="es-CO"/>
        </w:rPr>
        <w:t>La cadena de valor de la yuca ha estado bajo una fuerte presión económica en los últimos años, principalmente debido a la alta fluctuación de los precios, lo que ha generado, por un lado, una sobreoferta que ha llevado a la caída de los precios, y por otro, un aumento de los costos que se ha mantenido alto, reduciendo considerablemente los márgenes de los productores.</w:t>
      </w:r>
    </w:p>
    <w:p w14:paraId="288CC9CF" w14:textId="77777777" w:rsidR="00116FA3" w:rsidRPr="00116FA3" w:rsidRDefault="00116FA3" w:rsidP="00116FA3">
      <w:pPr>
        <w:spacing w:after="0" w:line="240" w:lineRule="auto"/>
        <w:ind w:right="0"/>
        <w:jc w:val="both"/>
        <w:rPr>
          <w:rFonts w:asciiTheme="majorHAnsi" w:hAnsiTheme="majorHAnsi" w:cstheme="majorHAnsi"/>
          <w:lang w:val="es-CO"/>
        </w:rPr>
      </w:pPr>
    </w:p>
    <w:p w14:paraId="3C26C3E5" w14:textId="250F913F" w:rsidR="00116FA3" w:rsidRPr="00116FA3" w:rsidRDefault="00116FA3" w:rsidP="00116FA3">
      <w:pPr>
        <w:spacing w:after="0" w:line="240" w:lineRule="auto"/>
        <w:ind w:right="0"/>
        <w:jc w:val="both"/>
        <w:rPr>
          <w:rFonts w:asciiTheme="majorHAnsi" w:hAnsiTheme="majorHAnsi" w:cstheme="majorHAnsi"/>
          <w:lang w:val="es-CO"/>
        </w:rPr>
      </w:pPr>
      <w:r w:rsidRPr="00116FA3">
        <w:rPr>
          <w:rFonts w:asciiTheme="majorHAnsi" w:hAnsiTheme="majorHAnsi" w:cstheme="majorHAnsi"/>
          <w:lang w:val="es-CO"/>
        </w:rPr>
        <w:t xml:space="preserve">La sobreoferta se originó principalmente por la entrada de nuevos actores en la producción, atraídos por la posibilidad de obtener una renta rápida debido al precio máximo alcanzado. Esta dinámica es característica de una cadena de valor que aún está en proceso de consolidación y maduración. Para que una cadena de valor sea un motor de desarrollo territorial, debe ser capaz de garantizar estabilidad a sus actores clave. Esta estabilidad económica está vinculada a márgenes de ganancia </w:t>
      </w:r>
      <w:r w:rsidR="00BB2A84">
        <w:rPr>
          <w:rFonts w:asciiTheme="majorHAnsi" w:hAnsiTheme="majorHAnsi" w:cstheme="majorHAnsi"/>
          <w:lang w:val="es-CO"/>
        </w:rPr>
        <w:t>mínimos</w:t>
      </w:r>
      <w:r w:rsidRPr="00116FA3">
        <w:rPr>
          <w:rFonts w:asciiTheme="majorHAnsi" w:hAnsiTheme="majorHAnsi" w:cstheme="majorHAnsi"/>
          <w:lang w:val="es-CO"/>
        </w:rPr>
        <w:t xml:space="preserve"> que aseguren un buen bienestar y calidad de vida para los productores. Por lo tanto, es crucial desarrollar mecanismos que mejoren la estabilidad económica de los actores de la cadena.</w:t>
      </w:r>
    </w:p>
    <w:p w14:paraId="3635FCC9" w14:textId="77777777" w:rsidR="00116FA3" w:rsidRPr="00116FA3" w:rsidRDefault="00116FA3" w:rsidP="00116FA3">
      <w:pPr>
        <w:spacing w:after="0" w:line="240" w:lineRule="auto"/>
        <w:ind w:right="0"/>
        <w:jc w:val="both"/>
        <w:rPr>
          <w:rFonts w:asciiTheme="majorHAnsi" w:hAnsiTheme="majorHAnsi" w:cstheme="majorHAnsi"/>
          <w:lang w:val="es-CO"/>
        </w:rPr>
      </w:pPr>
    </w:p>
    <w:p w14:paraId="502F87A1" w14:textId="77777777" w:rsidR="00116FA3" w:rsidRPr="00116FA3" w:rsidRDefault="00116FA3" w:rsidP="00116FA3">
      <w:pPr>
        <w:spacing w:after="0" w:line="240" w:lineRule="auto"/>
        <w:ind w:right="0"/>
        <w:jc w:val="both"/>
        <w:rPr>
          <w:rFonts w:asciiTheme="majorHAnsi" w:hAnsiTheme="majorHAnsi" w:cstheme="majorHAnsi"/>
          <w:lang w:val="es-CO"/>
        </w:rPr>
      </w:pPr>
      <w:r w:rsidRPr="00116FA3">
        <w:rPr>
          <w:rFonts w:asciiTheme="majorHAnsi" w:hAnsiTheme="majorHAnsi" w:cstheme="majorHAnsi"/>
          <w:lang w:val="es-CO"/>
        </w:rPr>
        <w:t>Para lograr una cadena de valor más madura y consolidada, es necesario que sea productiva y costo-efectiva. Esto implica realizar inversiones a largo plazo en infraestructura, restauración del suelo, maquinaria y espacios de almacenamiento. Una visión a largo plazo por parte de los propietarios de tierras, productores y transformadores requiere replantear la construcción de relaciones duraderas y sostenibles.</w:t>
      </w:r>
    </w:p>
    <w:p w14:paraId="4A7318CF" w14:textId="77777777" w:rsidR="00116FA3" w:rsidRPr="00116FA3" w:rsidRDefault="00116FA3" w:rsidP="00116FA3">
      <w:pPr>
        <w:spacing w:after="0" w:line="240" w:lineRule="auto"/>
        <w:ind w:right="0"/>
        <w:jc w:val="both"/>
        <w:rPr>
          <w:rFonts w:asciiTheme="majorHAnsi" w:hAnsiTheme="majorHAnsi" w:cstheme="majorHAnsi"/>
          <w:lang w:val="es-CO"/>
        </w:rPr>
      </w:pPr>
    </w:p>
    <w:p w14:paraId="54536AF6" w14:textId="286391FD" w:rsidR="00116FA3" w:rsidRPr="00116FA3" w:rsidRDefault="00116FA3" w:rsidP="00116FA3">
      <w:pPr>
        <w:spacing w:after="0" w:line="240" w:lineRule="auto"/>
        <w:ind w:right="0"/>
        <w:jc w:val="both"/>
        <w:rPr>
          <w:rFonts w:asciiTheme="majorHAnsi" w:hAnsiTheme="majorHAnsi" w:cstheme="majorHAnsi"/>
          <w:lang w:val="es-CO"/>
        </w:rPr>
      </w:pPr>
      <w:r w:rsidRPr="00116FA3">
        <w:rPr>
          <w:rFonts w:asciiTheme="majorHAnsi" w:hAnsiTheme="majorHAnsi" w:cstheme="majorHAnsi"/>
          <w:lang w:val="es-CO"/>
        </w:rPr>
        <w:t>El cultivo de la yuca es intensivo en mano de obra, en parte por la baja mecanización de los cultivos y en parte por los retos técnicos que implica su cosecha. Sin embargo, la mayoría de este empleo es informal, lo que no proporciona estabilidad laboral ni ingresos mínimos a los jornaleros.</w:t>
      </w:r>
      <w:r w:rsidR="00BB2A84">
        <w:rPr>
          <w:rFonts w:asciiTheme="majorHAnsi" w:hAnsiTheme="majorHAnsi" w:cstheme="majorHAnsi"/>
          <w:lang w:val="es-CO"/>
        </w:rPr>
        <w:t xml:space="preserve"> </w:t>
      </w:r>
      <w:r w:rsidRPr="00116FA3">
        <w:rPr>
          <w:rFonts w:asciiTheme="majorHAnsi" w:hAnsiTheme="majorHAnsi" w:cstheme="majorHAnsi"/>
          <w:lang w:val="es-CO"/>
        </w:rPr>
        <w:t xml:space="preserve">Por otro lado, el bajo relevo generacional y la migración de los jóvenes hacia las zonas urbanas en busca de oportunidades, probablemente generarán un aumento en los costos de mano de obra y una mayor presión para mecanizar los procesos. Esto implicará inversiones en maquinaria o su alquiler, lo que, a su vez, aumentará los costos. Ante estos dos escenarios, una de las mejores alternativas para los pequeños productores (que representan la mayoría) es asociarse para generar economías de escala. Al comprar insumos en volumen, podrían negociar mejores precios; al crear un banco de maquinaria y herramientas, podrían ahorrar en costos de alquiler; y también podrían asociarse para contratar empleados de manera formal. Al distribuir la carga de trabajo entre varios propietarios, mejorarían las condiciones de vida de los jornaleros sin un incremento significativo de los costos. </w:t>
      </w:r>
      <w:r w:rsidR="00BB2A84">
        <w:rPr>
          <w:rFonts w:asciiTheme="majorHAnsi" w:hAnsiTheme="majorHAnsi" w:cstheme="majorHAnsi"/>
          <w:lang w:val="es-CO"/>
        </w:rPr>
        <w:t>En resumen, l</w:t>
      </w:r>
      <w:r w:rsidRPr="00116FA3">
        <w:rPr>
          <w:rFonts w:asciiTheme="majorHAnsi" w:hAnsiTheme="majorHAnsi" w:cstheme="majorHAnsi"/>
          <w:lang w:val="es-CO"/>
        </w:rPr>
        <w:t>a asociatividad es clave para reducir costos, ser más competitivos y mejorar los márgenes de ganancia.</w:t>
      </w:r>
    </w:p>
    <w:p w14:paraId="1F3B3038" w14:textId="77777777" w:rsidR="00116FA3" w:rsidRPr="00116FA3" w:rsidRDefault="00116FA3" w:rsidP="00116FA3">
      <w:pPr>
        <w:spacing w:after="0" w:line="240" w:lineRule="auto"/>
        <w:ind w:right="0"/>
        <w:jc w:val="both"/>
        <w:rPr>
          <w:rFonts w:asciiTheme="majorHAnsi" w:hAnsiTheme="majorHAnsi" w:cstheme="majorHAnsi"/>
          <w:lang w:val="es-CO"/>
        </w:rPr>
      </w:pPr>
    </w:p>
    <w:p w14:paraId="3CB58772" w14:textId="77777777" w:rsidR="00116FA3" w:rsidRPr="00116FA3" w:rsidRDefault="00116FA3" w:rsidP="00116FA3">
      <w:pPr>
        <w:spacing w:after="0" w:line="240" w:lineRule="auto"/>
        <w:ind w:right="0"/>
        <w:jc w:val="both"/>
        <w:rPr>
          <w:rFonts w:asciiTheme="majorHAnsi" w:hAnsiTheme="majorHAnsi" w:cstheme="majorHAnsi"/>
          <w:lang w:val="es-CO"/>
        </w:rPr>
      </w:pPr>
      <w:r w:rsidRPr="00116FA3">
        <w:rPr>
          <w:rFonts w:asciiTheme="majorHAnsi" w:hAnsiTheme="majorHAnsi" w:cstheme="majorHAnsi"/>
          <w:lang w:val="es-CO"/>
        </w:rPr>
        <w:t>Desde una perspectiva de sostenibilidad, es fundamental que, además de medir el cambio económico asociado a la cadena de valor de la yuca, se analicen también los impactos sociales y ambientales de sus dinámicas. De este modo, se podrá tener una visión más integral de las relaciones e impactos de la cadena, y generar una base sólida para la toma de decisiones por parte de los actores involucrados. Por lo tanto, se recomienda que estudios e investigaciones futuras adopten un enfoque holístico, que incluya un análisis completo de la sostenibilidad, abarcando también aspectos ambientales y sociales.</w:t>
      </w:r>
    </w:p>
    <w:p w14:paraId="1B19F59C" w14:textId="77777777" w:rsidR="00116FA3" w:rsidRPr="00116FA3" w:rsidRDefault="00116FA3" w:rsidP="00116FA3">
      <w:pPr>
        <w:spacing w:after="0" w:line="240" w:lineRule="auto"/>
        <w:ind w:right="0"/>
        <w:jc w:val="both"/>
        <w:rPr>
          <w:rFonts w:asciiTheme="majorHAnsi" w:hAnsiTheme="majorHAnsi" w:cstheme="majorHAnsi"/>
          <w:lang w:val="es-CO"/>
        </w:rPr>
      </w:pPr>
    </w:p>
    <w:p w14:paraId="5877B861" w14:textId="77777777" w:rsidR="00116FA3" w:rsidRDefault="00116FA3" w:rsidP="00955648">
      <w:pPr>
        <w:spacing w:after="0" w:line="240" w:lineRule="auto"/>
        <w:ind w:right="0"/>
        <w:jc w:val="both"/>
        <w:rPr>
          <w:rFonts w:asciiTheme="majorHAnsi" w:hAnsiTheme="majorHAnsi" w:cstheme="majorHAnsi"/>
          <w:lang w:val="es-CO"/>
        </w:rPr>
      </w:pPr>
    </w:p>
    <w:p w14:paraId="19E59BE4" w14:textId="77777777" w:rsidR="00116FA3" w:rsidRDefault="00116FA3" w:rsidP="00955648">
      <w:pPr>
        <w:spacing w:after="0" w:line="240" w:lineRule="auto"/>
        <w:ind w:right="0"/>
        <w:jc w:val="both"/>
        <w:rPr>
          <w:rFonts w:asciiTheme="majorHAnsi" w:hAnsiTheme="majorHAnsi" w:cstheme="majorHAnsi"/>
          <w:lang w:val="es-CO"/>
        </w:rPr>
      </w:pPr>
    </w:p>
    <w:p w14:paraId="79D9D03D" w14:textId="77777777" w:rsidR="003C4DC6" w:rsidRDefault="003C4DC6" w:rsidP="00955648">
      <w:pPr>
        <w:spacing w:after="0" w:line="240" w:lineRule="auto"/>
        <w:ind w:right="0"/>
        <w:jc w:val="both"/>
        <w:rPr>
          <w:rFonts w:asciiTheme="majorHAnsi" w:hAnsiTheme="majorHAnsi" w:cstheme="majorHAnsi"/>
          <w:lang w:val="es-CO"/>
        </w:rPr>
        <w:sectPr w:rsidR="003C4DC6" w:rsidSect="00C53A18">
          <w:headerReference w:type="default" r:id="rId19"/>
          <w:headerReference w:type="first" r:id="rId20"/>
          <w:footerReference w:type="first" r:id="rId21"/>
          <w:endnotePr>
            <w:numFmt w:val="decimal"/>
          </w:endnotePr>
          <w:pgSz w:w="11901" w:h="16840"/>
          <w:pgMar w:top="1871" w:right="907" w:bottom="1134" w:left="2268" w:header="709" w:footer="709" w:gutter="0"/>
          <w:cols w:space="708"/>
          <w:titlePg/>
          <w:docGrid w:linePitch="360"/>
        </w:sectPr>
      </w:pPr>
    </w:p>
    <w:p w14:paraId="3A30E3E0" w14:textId="77777777" w:rsidR="006B29B4" w:rsidRDefault="006B29B4" w:rsidP="006B29B4">
      <w:pPr>
        <w:pStyle w:val="Ttulo1"/>
        <w:jc w:val="both"/>
        <w:rPr>
          <w:rFonts w:asciiTheme="majorHAnsi" w:hAnsiTheme="majorHAnsi" w:cstheme="majorHAnsi"/>
          <w:lang w:val="es-CO"/>
        </w:rPr>
      </w:pPr>
      <w:bookmarkStart w:id="15" w:name="_Toc217565995"/>
      <w:r w:rsidRPr="00F67D37">
        <w:rPr>
          <w:rFonts w:asciiTheme="majorHAnsi" w:hAnsiTheme="majorHAnsi" w:cstheme="majorHAnsi"/>
          <w:lang w:val="es-CO"/>
        </w:rPr>
        <w:lastRenderedPageBreak/>
        <w:t>Referen</w:t>
      </w:r>
      <w:r>
        <w:rPr>
          <w:rFonts w:asciiTheme="majorHAnsi" w:hAnsiTheme="majorHAnsi" w:cstheme="majorHAnsi"/>
          <w:lang w:val="es-CO"/>
        </w:rPr>
        <w:t>cias</w:t>
      </w:r>
      <w:bookmarkEnd w:id="15"/>
    </w:p>
    <w:p w14:paraId="5F27D1B4" w14:textId="77777777" w:rsidR="00BC6C2D" w:rsidRPr="00BC6C2D" w:rsidRDefault="00BC6C2D" w:rsidP="00BC6C2D">
      <w:pPr>
        <w:pStyle w:val="Bibliografa"/>
        <w:rPr>
          <w:rFonts w:cs="Calibri"/>
          <w:lang w:val="es-CO"/>
        </w:rPr>
      </w:pPr>
      <w:r>
        <w:rPr>
          <w:lang w:val="en-US"/>
        </w:rPr>
        <w:fldChar w:fldCharType="begin"/>
      </w:r>
      <w:r w:rsidRPr="00BC6C2D">
        <w:rPr>
          <w:lang w:val="es-CO"/>
        </w:rPr>
        <w:instrText xml:space="preserve"> ADDIN ZOTERO_BIBL {"uncited":[],"omitted":[],"custom":[]} CSL_BIBLIOGRAPHY </w:instrText>
      </w:r>
      <w:r>
        <w:rPr>
          <w:lang w:val="en-US"/>
        </w:rPr>
        <w:fldChar w:fldCharType="separate"/>
      </w:r>
      <w:r w:rsidRPr="00BC6C2D">
        <w:rPr>
          <w:rFonts w:cs="Calibri"/>
          <w:lang w:val="es-CO"/>
        </w:rPr>
        <w:t xml:space="preserve">Agronet. (2024). </w:t>
      </w:r>
      <w:r w:rsidRPr="00BC6C2D">
        <w:rPr>
          <w:rFonts w:cs="Calibri"/>
          <w:i/>
          <w:iCs/>
          <w:lang w:val="es-CO"/>
        </w:rPr>
        <w:t>Reporte: Área, Producción y Rendimiento Nacional por Cultivo</w:t>
      </w:r>
      <w:r w:rsidRPr="00BC6C2D">
        <w:rPr>
          <w:rFonts w:cs="Calibri"/>
          <w:lang w:val="es-CO"/>
        </w:rPr>
        <w:t xml:space="preserve"> [Agronet]. Agronet MinAgricultura. https://www.agronet.gov.co/estadistica/Paginas/home.aspx?cod=1</w:t>
      </w:r>
    </w:p>
    <w:p w14:paraId="15A4C960" w14:textId="77777777" w:rsidR="00BC6C2D" w:rsidRPr="00BC6C2D" w:rsidRDefault="00BC6C2D" w:rsidP="00BC6C2D">
      <w:pPr>
        <w:pStyle w:val="Bibliografa"/>
        <w:rPr>
          <w:rFonts w:cs="Calibri"/>
        </w:rPr>
      </w:pPr>
      <w:r w:rsidRPr="00BC6C2D">
        <w:rPr>
          <w:rFonts w:cs="Calibri"/>
          <w:lang w:val="es-CO"/>
        </w:rPr>
        <w:t xml:space="preserve">Bracco, S., Tani, A., Çalıcıoğlu, Ö., Gómez San Juan, M., &amp; Bogdanski, A. (2019). </w:t>
      </w:r>
      <w:r w:rsidRPr="00BC6C2D">
        <w:rPr>
          <w:rFonts w:cs="Calibri"/>
          <w:i/>
          <w:iCs/>
        </w:rPr>
        <w:t>Indicators to monitor and evaluate the sustainability of bioeconomy. Overview and a proposed way forward.</w:t>
      </w:r>
    </w:p>
    <w:p w14:paraId="6DCE1953" w14:textId="77777777" w:rsidR="00BC6C2D" w:rsidRPr="00BC6C2D" w:rsidRDefault="00BC6C2D" w:rsidP="00BC6C2D">
      <w:pPr>
        <w:pStyle w:val="Bibliografa"/>
        <w:rPr>
          <w:rFonts w:cs="Calibri"/>
          <w:lang w:val="es-CO"/>
        </w:rPr>
      </w:pPr>
      <w:r w:rsidRPr="00BC6C2D">
        <w:rPr>
          <w:rFonts w:cs="Calibri"/>
          <w:lang w:val="es-CO"/>
        </w:rPr>
        <w:t xml:space="preserve">Canales, N., &amp; Trujillo, M. (2021). La red de valor de la yuca y su potencial en la bioeconomía de Colombia. </w:t>
      </w:r>
      <w:r w:rsidRPr="00BC6C2D">
        <w:rPr>
          <w:rFonts w:cs="Calibri"/>
          <w:i/>
          <w:iCs/>
          <w:lang w:val="es-CO"/>
        </w:rPr>
        <w:t>Instituto de Ambiente de Estocolmo</w:t>
      </w:r>
      <w:r w:rsidRPr="00BC6C2D">
        <w:rPr>
          <w:rFonts w:cs="Calibri"/>
          <w:lang w:val="es-CO"/>
        </w:rPr>
        <w:t>, 1-30.</w:t>
      </w:r>
    </w:p>
    <w:p w14:paraId="16AE80DD" w14:textId="77777777" w:rsidR="00BC6C2D" w:rsidRPr="00BC6C2D" w:rsidRDefault="00BC6C2D" w:rsidP="00BC6C2D">
      <w:pPr>
        <w:pStyle w:val="Bibliografa"/>
        <w:rPr>
          <w:rFonts w:cs="Calibri"/>
          <w:lang w:val="es-CO"/>
        </w:rPr>
      </w:pPr>
      <w:r w:rsidRPr="00BC6C2D">
        <w:rPr>
          <w:rFonts w:cs="Calibri"/>
          <w:lang w:val="es-CO"/>
        </w:rPr>
        <w:t xml:space="preserve">Gobierno de Colombia. (2020). </w:t>
      </w:r>
      <w:r w:rsidRPr="00BC6C2D">
        <w:rPr>
          <w:rFonts w:cs="Calibri"/>
          <w:i/>
          <w:iCs/>
          <w:lang w:val="es-CO"/>
        </w:rPr>
        <w:t>Bioeconomía para una Colombia potencia viva y diversa: Hacia una sociedad impulsada por el conocimiento.</w:t>
      </w:r>
      <w:r w:rsidRPr="00BC6C2D">
        <w:rPr>
          <w:rFonts w:cs="Calibri"/>
          <w:lang w:val="es-CO"/>
        </w:rPr>
        <w:t xml:space="preserve"> https://minciencias.gov.co/sites/default/files/upload/paginas/bioeconomia_para_un_crecimiento_sostenible-qm_print.pdf</w:t>
      </w:r>
    </w:p>
    <w:p w14:paraId="3F924D91" w14:textId="77777777" w:rsidR="00BC6C2D" w:rsidRPr="00BC6C2D" w:rsidRDefault="00BC6C2D" w:rsidP="00BC6C2D">
      <w:pPr>
        <w:pStyle w:val="Bibliografa"/>
        <w:rPr>
          <w:rFonts w:cs="Calibri"/>
          <w:lang w:val="es-CO"/>
        </w:rPr>
      </w:pPr>
      <w:r w:rsidRPr="00BC6C2D">
        <w:rPr>
          <w:rFonts w:cs="Calibri"/>
          <w:lang w:val="es-CO"/>
        </w:rPr>
        <w:t xml:space="preserve">MADR, Ministerio de Agricultura y Desarrollo Rural. (2019). </w:t>
      </w:r>
      <w:r w:rsidRPr="00BC6C2D">
        <w:rPr>
          <w:rFonts w:cs="Calibri"/>
          <w:i/>
          <w:iCs/>
          <w:lang w:val="es-CO"/>
        </w:rPr>
        <w:t>Subsector Productivo de la Yuca</w:t>
      </w:r>
      <w:r w:rsidRPr="00BC6C2D">
        <w:rPr>
          <w:rFonts w:cs="Calibri"/>
          <w:lang w:val="es-CO"/>
        </w:rPr>
        <w:t>. https://sioc.minagricultura.gov.co/Yuca/Documentos/2019-06-30%20Cifras%20Sectoriales.pdf</w:t>
      </w:r>
    </w:p>
    <w:p w14:paraId="6AB67EC0" w14:textId="77777777" w:rsidR="00BC6C2D" w:rsidRPr="00BC6C2D" w:rsidRDefault="00BC6C2D" w:rsidP="00BC6C2D">
      <w:pPr>
        <w:pStyle w:val="Bibliografa"/>
        <w:rPr>
          <w:rFonts w:cs="Calibri"/>
          <w:lang w:val="es-CO"/>
        </w:rPr>
      </w:pPr>
      <w:r w:rsidRPr="00BC6C2D">
        <w:rPr>
          <w:rFonts w:cs="Calibri"/>
          <w:lang w:val="es-CO"/>
        </w:rPr>
        <w:t xml:space="preserve">Ministerio de Ciencias, Tecnología e Innovación. (2023). </w:t>
      </w:r>
      <w:r w:rsidRPr="00BC6C2D">
        <w:rPr>
          <w:rFonts w:cs="Calibri"/>
          <w:i/>
          <w:iCs/>
          <w:lang w:val="es-CO"/>
        </w:rPr>
        <w:t>Misión de Bioeconomía y Territorio</w:t>
      </w:r>
      <w:r w:rsidRPr="00BC6C2D">
        <w:rPr>
          <w:rFonts w:cs="Calibri"/>
          <w:lang w:val="es-CO"/>
        </w:rPr>
        <w:t>. chrome-extension://efaidnbmnnnibpcajpcglclefindmkaj/https://minciencias.gov.co/sites/default/files/upload/noticias/1._documento_de_politica_bioeconomia_y_territorio.pdf</w:t>
      </w:r>
    </w:p>
    <w:p w14:paraId="76298C19" w14:textId="77777777" w:rsidR="00BC6C2D" w:rsidRPr="00BC6C2D" w:rsidRDefault="00BC6C2D" w:rsidP="00BC6C2D">
      <w:pPr>
        <w:pStyle w:val="Bibliografa"/>
        <w:rPr>
          <w:rFonts w:cs="Calibri"/>
        </w:rPr>
      </w:pPr>
      <w:r w:rsidRPr="00BC6C2D">
        <w:rPr>
          <w:rFonts w:cs="Calibri"/>
        </w:rPr>
        <w:t xml:space="preserve">Poku, A.-G., Birner, R., &amp; Gupta, S. (2018). Is Africa ready to develop a competitive bioeconomy? The case of the cassava value web in Ghana. </w:t>
      </w:r>
      <w:r w:rsidRPr="00BC6C2D">
        <w:rPr>
          <w:rFonts w:cs="Calibri"/>
          <w:i/>
          <w:iCs/>
        </w:rPr>
        <w:t>Journal of Cleaner Production</w:t>
      </w:r>
      <w:r w:rsidRPr="00BC6C2D">
        <w:rPr>
          <w:rFonts w:cs="Calibri"/>
        </w:rPr>
        <w:t xml:space="preserve">, </w:t>
      </w:r>
      <w:r w:rsidRPr="00BC6C2D">
        <w:rPr>
          <w:rFonts w:cs="Calibri"/>
          <w:i/>
          <w:iCs/>
        </w:rPr>
        <w:t>200</w:t>
      </w:r>
      <w:r w:rsidRPr="00BC6C2D">
        <w:rPr>
          <w:rFonts w:cs="Calibri"/>
        </w:rPr>
        <w:t>, 134-147. https://doi.org/10.1016/j.jclepro.2018.07.290</w:t>
      </w:r>
    </w:p>
    <w:p w14:paraId="6A2E09E1" w14:textId="6B0837C5" w:rsidR="00516802" w:rsidRPr="00547A67" w:rsidRDefault="00BC6C2D" w:rsidP="00955648">
      <w:pPr>
        <w:jc w:val="both"/>
        <w:rPr>
          <w:lang w:val="en-US"/>
        </w:rPr>
      </w:pPr>
      <w:r>
        <w:rPr>
          <w:lang w:val="en-US"/>
        </w:rPr>
        <w:fldChar w:fldCharType="end"/>
      </w:r>
    </w:p>
    <w:sectPr w:rsidR="00516802" w:rsidRPr="00547A67" w:rsidSect="00C53A18">
      <w:endnotePr>
        <w:numFmt w:val="decimal"/>
      </w:endnotePr>
      <w:pgSz w:w="11901" w:h="16840"/>
      <w:pgMar w:top="1871" w:right="907" w:bottom="1134"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C5D47" w14:textId="77777777" w:rsidR="00C04460" w:rsidRDefault="00C04460" w:rsidP="00300305"/>
  </w:endnote>
  <w:endnote w:type="continuationSeparator" w:id="0">
    <w:p w14:paraId="6EBF5291" w14:textId="77777777" w:rsidR="00C04460" w:rsidRDefault="00C04460" w:rsidP="00300305">
      <w:r>
        <w:continuationSeparator/>
      </w:r>
    </w:p>
  </w:endnote>
  <w:endnote w:type="continuationNotice" w:id="1">
    <w:p w14:paraId="7B49F59C" w14:textId="77777777" w:rsidR="00C04460" w:rsidRDefault="00C044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New Roman (Headings CS)">
    <w:altName w:val="Times New Roman"/>
    <w:charset w:val="00"/>
    <w:family w:val="roman"/>
    <w:pitch w:val="variable"/>
    <w:sig w:usb0="E0002AFF" w:usb1="C0007841" w:usb2="00000009" w:usb3="00000000" w:csb0="000001FF" w:csb1="00000000"/>
  </w:font>
  <w:font w:name="Calibre-Semibold">
    <w:altName w:val="Arial"/>
    <w:panose1 w:val="00000000000000000000"/>
    <w:charset w:val="4D"/>
    <w:family w:val="swiss"/>
    <w:notTrueType/>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alibre-Regular">
    <w:charset w:val="4D"/>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e Semibold">
    <w:charset w:val="00"/>
    <w:family w:val="swiss"/>
    <w:pitch w:val="variable"/>
    <w:sig w:usb0="00000007" w:usb1="00000000" w:usb2="00000000" w:usb3="00000000" w:csb0="00000093" w:csb1="00000000"/>
  </w:font>
  <w:font w:name="Calibre Regular">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E3EC" w14:textId="77777777" w:rsidR="00A17BED" w:rsidRDefault="00A17BED" w:rsidP="003742FA">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228BCF" w14:textId="77777777" w:rsidR="00A17BED" w:rsidRDefault="00A17BED" w:rsidP="00C534B2">
    <w:pPr>
      <w:pStyle w:val="Piedep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965368"/>
      <w:docPartObj>
        <w:docPartGallery w:val="Page Numbers (Bottom of Page)"/>
        <w:docPartUnique/>
      </w:docPartObj>
    </w:sdtPr>
    <w:sdtEndPr/>
    <w:sdtContent>
      <w:p w14:paraId="2A8CD62C" w14:textId="784014B3" w:rsidR="00A17BED" w:rsidRDefault="00A17BED">
        <w:pPr>
          <w:pStyle w:val="Piedepgina"/>
          <w:jc w:val="right"/>
        </w:pPr>
        <w:r>
          <w:fldChar w:fldCharType="begin"/>
        </w:r>
        <w:r>
          <w:instrText>PAGE   \* MERGEFORMAT</w:instrText>
        </w:r>
        <w:r>
          <w:fldChar w:fldCharType="separate"/>
        </w:r>
        <w:r w:rsidR="00251740" w:rsidRPr="00251740">
          <w:rPr>
            <w:noProof/>
            <w:lang w:val="es-ES"/>
          </w:rPr>
          <w:t>5</w:t>
        </w:r>
        <w:r>
          <w:fldChar w:fldCharType="end"/>
        </w:r>
      </w:p>
    </w:sdtContent>
  </w:sdt>
  <w:p w14:paraId="42BFCCBF" w14:textId="3C9CA58D" w:rsidR="00A17BED" w:rsidRDefault="00A17BED" w:rsidP="004610E3">
    <w:pPr>
      <w:pStyle w:val="Piedepgina"/>
      <w:ind w:left="-1134" w:firstLine="141"/>
      <w:rPr>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514D" w14:textId="77777777" w:rsidR="00A17BED" w:rsidRDefault="00A17BED" w:rsidP="00A82CAF">
    <w:pPr>
      <w:spacing w:after="0" w:line="0" w:lineRule="atLeast"/>
      <w:jc w:val="both"/>
    </w:pPr>
    <w:r>
      <w:rPr>
        <w:noProof/>
        <w:lang w:val="pt-BR" w:eastAsia="pt-BR"/>
      </w:rPr>
      <mc:AlternateContent>
        <mc:Choice Requires="wps">
          <w:drawing>
            <wp:anchor distT="0" distB="0" distL="114300" distR="114300" simplePos="0" relativeHeight="251660288" behindDoc="0" locked="0" layoutInCell="1" allowOverlap="1" wp14:anchorId="734E5713" wp14:editId="1F6F5EC1">
              <wp:simplePos x="0" y="0"/>
              <wp:positionH relativeFrom="margin">
                <wp:posOffset>-925830</wp:posOffset>
              </wp:positionH>
              <wp:positionV relativeFrom="paragraph">
                <wp:posOffset>158115</wp:posOffset>
              </wp:positionV>
              <wp:extent cx="6372225" cy="4445"/>
              <wp:effectExtent l="0" t="0" r="3175" b="8255"/>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A2E41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2.9pt,12.45pt" to="428.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" strokecolor="#00d29a" strokeweight="1pt">
              <v:stroke joinstyle="miter"/>
              <o:lock v:ext="edit" shapetype="f"/>
              <w10:wrap anchorx="margin"/>
            </v:line>
          </w:pict>
        </mc:Fallback>
      </mc:AlternateContent>
    </w:r>
  </w:p>
  <w:p w14:paraId="3F2C4FBE" w14:textId="77777777" w:rsidR="00A17BED" w:rsidRPr="00056F03" w:rsidRDefault="00A17BED" w:rsidP="00A82CAF">
    <w:pPr>
      <w:spacing w:after="0" w:line="0" w:lineRule="atLeast"/>
      <w:jc w:val="both"/>
      <w:rPr>
        <w:rFonts w:asciiTheme="majorHAnsi" w:hAnsiTheme="majorHAnsi" w:cstheme="majorHAnsi"/>
      </w:rPr>
    </w:pPr>
    <w:r w:rsidRPr="000E36DA">
      <w:rPr>
        <w:rFonts w:asciiTheme="majorHAnsi" w:hAnsiTheme="majorHAnsi" w:cstheme="majorHAnsi"/>
      </w:rPr>
      <w:t>Identification and analysis of existing information on fisheries in the Rupununi</w:t>
    </w:r>
  </w:p>
  <w:p w14:paraId="12BF0125" w14:textId="2C366E25" w:rsidR="00A17BED" w:rsidRDefault="00A17BED" w:rsidP="002366C2">
    <w:pPr>
      <w:pStyle w:val="Piedepgina"/>
      <w:ind w:left="-113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CBD4" w14:textId="7B735561" w:rsidR="00A17BED" w:rsidRDefault="00A17BED" w:rsidP="00F77147">
    <w:pPr>
      <w:pStyle w:val="Piedepgina"/>
      <w:ind w:left="0"/>
    </w:pPr>
    <w:r>
      <w:rPr>
        <w:noProof/>
        <w:lang w:val="pt-BR" w:eastAsia="pt-BR"/>
      </w:rPr>
      <mc:AlternateContent>
        <mc:Choice Requires="wps">
          <w:drawing>
            <wp:anchor distT="4294967295" distB="4294967295" distL="114300" distR="114300" simplePos="0" relativeHeight="251658240" behindDoc="0" locked="0" layoutInCell="1" allowOverlap="1" wp14:anchorId="191F05D9" wp14:editId="129F5ED4">
              <wp:simplePos x="0" y="0"/>
              <wp:positionH relativeFrom="margin">
                <wp:posOffset>-706120</wp:posOffset>
              </wp:positionH>
              <wp:positionV relativeFrom="margin">
                <wp:posOffset>8668384</wp:posOffset>
              </wp:positionV>
              <wp:extent cx="6371590" cy="0"/>
              <wp:effectExtent l="0" t="0" r="381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1590"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C927609" id="Straight Connector 37"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55.6pt,682.55pt" to="446.1pt,6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" strokecolor="#00d29a" strokeweight="1pt">
              <v:stroke joinstyle="miter"/>
              <o:lock v:ext="edit" shapetype="f"/>
              <w10:wrap anchorx="margin"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F6C0" w14:textId="77777777" w:rsidR="00C04460" w:rsidRDefault="00C04460" w:rsidP="00300305">
      <w:r>
        <w:separator/>
      </w:r>
    </w:p>
  </w:footnote>
  <w:footnote w:type="continuationSeparator" w:id="0">
    <w:p w14:paraId="570781EB" w14:textId="77777777" w:rsidR="00C04460" w:rsidRDefault="00C04460" w:rsidP="00300305">
      <w:r>
        <w:continuationSeparator/>
      </w:r>
    </w:p>
  </w:footnote>
  <w:footnote w:type="continuationNotice" w:id="1">
    <w:p w14:paraId="40542FB3" w14:textId="77777777" w:rsidR="00C04460" w:rsidRDefault="00C044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143D" w14:textId="77777777" w:rsidR="00A17BED" w:rsidRDefault="00A17BED" w:rsidP="00BE1B5F">
    <w:pPr>
      <w:pStyle w:val="Encabezado"/>
      <w:framePr w:wrap="around" w:vAnchor="text" w:hAnchor="margin"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43C34A2B" w14:textId="77777777" w:rsidR="00A17BED" w:rsidRDefault="00A17BED" w:rsidP="00BE1B5F">
    <w:pPr>
      <w:pStyle w:val="Encabezado"/>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4F4" w14:textId="77777777" w:rsidR="00A17BED" w:rsidRPr="00BF3679" w:rsidRDefault="00A17BED" w:rsidP="004610E3">
    <w:pPr>
      <w:pStyle w:val="PagerunningheadLeftPagefurniture"/>
      <w:ind w:left="-1134" w:firstLine="0"/>
    </w:pPr>
    <w:r>
      <w:rPr>
        <w:noProof/>
        <w:lang w:val="pt-BR" w:eastAsia="pt-BR"/>
      </w:rPr>
      <mc:AlternateContent>
        <mc:Choice Requires="wps">
          <w:drawing>
            <wp:anchor distT="4294967295" distB="4294967295" distL="114300" distR="114300" simplePos="0" relativeHeight="251658243" behindDoc="0" locked="0" layoutInCell="1" allowOverlap="1" wp14:anchorId="055A9C9B" wp14:editId="00369D03">
              <wp:simplePos x="0" y="0"/>
              <wp:positionH relativeFrom="margin">
                <wp:posOffset>-821690</wp:posOffset>
              </wp:positionH>
              <wp:positionV relativeFrom="paragraph">
                <wp:posOffset>481329</wp:posOffset>
              </wp:positionV>
              <wp:extent cx="6372225" cy="0"/>
              <wp:effectExtent l="0" t="0" r="3175"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1C1E12" id="Straight Connector 39"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64.7pt,37.9pt" to="437.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" strokecolor="#00d29a" strokeweight="1pt">
              <v:stroke joinstyle="miter"/>
              <o:lock v:ext="edit" shapetype="f"/>
              <w10:wrap anchorx="margin"/>
            </v:line>
          </w:pict>
        </mc:Fallback>
      </mc:AlternateContent>
    </w:r>
    <w:r w:rsidRPr="00BF3679">
      <w:t>Stockholm Environment Institute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7936" w14:textId="77777777" w:rsidR="00A17BED" w:rsidRDefault="00A17BED">
    <w:pPr>
      <w:pStyle w:val="Encabezado"/>
    </w:pPr>
    <w:r>
      <w:rPr>
        <w:noProof/>
        <w:lang w:val="pt-BR" w:eastAsia="pt-BR"/>
      </w:rPr>
      <w:drawing>
        <wp:anchor distT="0" distB="0" distL="114300" distR="114300" simplePos="0" relativeHeight="251658244" behindDoc="0" locked="0" layoutInCell="1" allowOverlap="1" wp14:anchorId="39DFCBA2" wp14:editId="5993CED5">
          <wp:simplePos x="0" y="0"/>
          <wp:positionH relativeFrom="column">
            <wp:posOffset>-824865</wp:posOffset>
          </wp:positionH>
          <wp:positionV relativeFrom="paragraph">
            <wp:posOffset>353060</wp:posOffset>
          </wp:positionV>
          <wp:extent cx="2422525" cy="1040130"/>
          <wp:effectExtent l="0" t="0" r="0" b="0"/>
          <wp:wrapNone/>
          <wp:docPr id="11" name="Picture 3" title="Stockholm Environment Institu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title="Stockholm Environment Institute"/>
                  <pic:cNvPicPr>
                    <a:picLocks/>
                  </pic:cNvPicPr>
                </pic:nvPicPr>
                <pic:blipFill rotWithShape="1">
                  <a:blip r:embed="rId1">
                    <a:extLst>
                      <a:ext uri="{28A0092B-C50C-407E-A947-70E740481C1C}">
                        <a14:useLocalDpi xmlns:a14="http://schemas.microsoft.com/office/drawing/2010/main" val="0"/>
                      </a:ext>
                    </a:extLst>
                  </a:blip>
                  <a:srcRect l="11520" t="19307" r="10904" b="19890"/>
                  <a:stretch/>
                </pic:blipFill>
                <pic:spPr bwMode="auto">
                  <a:xfrm>
                    <a:off x="0" y="0"/>
                    <a:ext cx="2422525"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s">
          <w:drawing>
            <wp:anchor distT="0" distB="0" distL="114300" distR="114300" simplePos="0" relativeHeight="251658242" behindDoc="0" locked="0" layoutInCell="1" allowOverlap="1" wp14:anchorId="1672A5B6" wp14:editId="474BF2E9">
              <wp:simplePos x="0" y="0"/>
              <wp:positionH relativeFrom="margin">
                <wp:posOffset>-612775</wp:posOffset>
              </wp:positionH>
              <wp:positionV relativeFrom="paragraph">
                <wp:posOffset>-675005</wp:posOffset>
              </wp:positionV>
              <wp:extent cx="7630160" cy="108204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0160" cy="10820400"/>
                      </a:xfrm>
                      <a:prstGeom prst="rect">
                        <a:avLst/>
                      </a:prstGeom>
                      <a:no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204283" id="Rectangle 17" o:spid="_x0000_s1026" style="position:absolute;margin-left:-48.25pt;margin-top:-53.15pt;width:600.8pt;height:85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" filled="f" stroked="f" strokeweight=".5pt">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7412" w14:textId="77777777" w:rsidR="00A17BED" w:rsidRPr="00893B2C" w:rsidRDefault="00A17BED" w:rsidP="004610E3">
    <w:pPr>
      <w:pStyle w:val="PagerunningheadLeftPagefurniture"/>
      <w:ind w:left="-1134" w:firstLine="0"/>
      <w:rPr>
        <w:lang w:val="en-US"/>
      </w:rPr>
    </w:pPr>
    <w:r>
      <w:rPr>
        <w:noProof/>
        <w:lang w:val="pt-BR" w:eastAsia="pt-BR"/>
      </w:rPr>
      <mc:AlternateContent>
        <mc:Choice Requires="wps">
          <w:drawing>
            <wp:anchor distT="0" distB="0" distL="114300" distR="114300" simplePos="0" relativeHeight="251654144" behindDoc="0" locked="0" layoutInCell="1" allowOverlap="1" wp14:anchorId="47B2AC89" wp14:editId="2C91E015">
              <wp:simplePos x="0" y="0"/>
              <wp:positionH relativeFrom="margin">
                <wp:posOffset>-854710</wp:posOffset>
              </wp:positionH>
              <wp:positionV relativeFrom="paragraph">
                <wp:posOffset>505460</wp:posOffset>
              </wp:positionV>
              <wp:extent cx="6372225" cy="4445"/>
              <wp:effectExtent l="0" t="0" r="3175"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4445"/>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7DE15A" id="Straight Connector 5"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3pt,39.8pt" to="434.4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" strokecolor="#00d29a" strokeweight="1pt">
              <v:stroke joinstyle="miter"/>
              <o:lock v:ext="edit" shapetype="f"/>
              <w10:wrap anchorx="margin"/>
            </v:line>
          </w:pict>
        </mc:Fallback>
      </mc:AlternateContent>
    </w:r>
    <w:r w:rsidRPr="001F18D2">
      <w:t>Stockholm Environment Institute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0C1E" w14:textId="77777777" w:rsidR="00A17BED" w:rsidRPr="00BE1B5F" w:rsidRDefault="00A17BED" w:rsidP="00BE1B5F">
    <w:pPr>
      <w:pStyle w:val="Encabezado"/>
      <w:framePr w:wrap="around" w:vAnchor="text" w:hAnchor="margin" w:y="1"/>
      <w:ind w:hanging="2552"/>
      <w:rPr>
        <w:rStyle w:val="Nmerodepgina"/>
      </w:rPr>
    </w:pPr>
    <w:r w:rsidRPr="00BE1B5F">
      <w:rPr>
        <w:rStyle w:val="Nmerodepgina"/>
        <w:rFonts w:hint="eastAsia"/>
      </w:rPr>
      <w:fldChar w:fldCharType="begin"/>
    </w:r>
    <w:r w:rsidRPr="00BE1B5F">
      <w:rPr>
        <w:rStyle w:val="Nmerodepgina"/>
        <w:rFonts w:hint="eastAsia"/>
      </w:rPr>
      <w:instrText xml:space="preserve">PAGE  </w:instrText>
    </w:r>
    <w:r w:rsidRPr="00BE1B5F">
      <w:rPr>
        <w:rStyle w:val="Nmerodepgina"/>
        <w:rFonts w:hint="eastAsia"/>
      </w:rPr>
      <w:fldChar w:fldCharType="separate"/>
    </w:r>
    <w:r w:rsidR="00251740">
      <w:rPr>
        <w:rStyle w:val="Nmerodepgina"/>
        <w:noProof/>
      </w:rPr>
      <w:t>5</w:t>
    </w:r>
    <w:r w:rsidRPr="00BE1B5F">
      <w:rPr>
        <w:rStyle w:val="Nmerodepgina"/>
        <w:rFonts w:hint="eastAsia"/>
      </w:rPr>
      <w:fldChar w:fldCharType="end"/>
    </w:r>
  </w:p>
  <w:p w14:paraId="759CB9FB" w14:textId="77777777" w:rsidR="00A17BED" w:rsidRDefault="00A17BED" w:rsidP="00BF3679">
    <w:pPr>
      <w:pStyle w:val="PagerunningheadLeftPagefurniture"/>
    </w:pPr>
    <w:r>
      <w:rPr>
        <w:rFonts w:hint="eastAsia"/>
        <w:noProof/>
        <w:lang w:val="en-US"/>
      </w:rPr>
      <w:t xml:space="preserve"> </w:t>
    </w:r>
    <w:r w:rsidRPr="00C14AF0">
      <w:t>Stockholm Environment Institute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F29E" w14:textId="6706016A" w:rsidR="00A17BED" w:rsidRPr="00893B2C" w:rsidRDefault="00A17BED" w:rsidP="00BF3679">
    <w:pPr>
      <w:pStyle w:val="PagerunningheadLeftPagefurniture"/>
      <w:rPr>
        <w:lang w:val="en-US"/>
      </w:rPr>
    </w:pPr>
    <w:r>
      <w:rPr>
        <w:noProof/>
        <w:lang w:val="pt-BR" w:eastAsia="pt-BR"/>
      </w:rPr>
      <mc:AlternateContent>
        <mc:Choice Requires="wps">
          <w:drawing>
            <wp:anchor distT="4294967295" distB="4294967295" distL="114300" distR="114300" simplePos="0" relativeHeight="251656192" behindDoc="0" locked="0" layoutInCell="1" allowOverlap="1" wp14:anchorId="09917868" wp14:editId="0B0C02CA">
              <wp:simplePos x="0" y="0"/>
              <wp:positionH relativeFrom="margin">
                <wp:posOffset>-810260</wp:posOffset>
              </wp:positionH>
              <wp:positionV relativeFrom="paragraph">
                <wp:posOffset>492759</wp:posOffset>
              </wp:positionV>
              <wp:extent cx="6372225" cy="0"/>
              <wp:effectExtent l="0" t="0" r="3175"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noFill/>
                      <a:ln w="12700" cap="flat" cmpd="sng" algn="ctr">
                        <a:solidFill>
                          <a:srgbClr val="00D29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3AC96E8" id="Straight Connector 36" o:spid="_x0000_s1026" style="position:absolute;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63.8pt,38.8pt" to="437.9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" strokecolor="#00d29a" strokeweight="1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DC0A64"/>
    <w:lvl w:ilvl="0">
      <w:start w:val="1"/>
      <w:numFmt w:val="bullet"/>
      <w:pStyle w:val="Listaconvietas"/>
      <w:lvlText w:val="•"/>
      <w:lvlJc w:val="left"/>
      <w:pPr>
        <w:ind w:left="2912" w:hanging="360"/>
      </w:pPr>
      <w:rPr>
        <w:rFonts w:ascii="Calibri" w:hAnsi="Calibri" w:cs="Times New Roman" w:hint="default"/>
        <w:b w:val="0"/>
        <w:bCs w:val="0"/>
        <w:i w:val="0"/>
        <w:iCs w:val="0"/>
        <w:color w:val="303B41"/>
        <w:position w:val="0"/>
        <w:sz w:val="20"/>
        <w:szCs w:val="20"/>
        <w:u w:val="none"/>
      </w:rPr>
    </w:lvl>
  </w:abstractNum>
  <w:abstractNum w:abstractNumId="1" w15:restartNumberingAfterBreak="0">
    <w:nsid w:val="06A75249"/>
    <w:multiLevelType w:val="hybridMultilevel"/>
    <w:tmpl w:val="B836747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1E14B1"/>
    <w:multiLevelType w:val="multilevel"/>
    <w:tmpl w:val="DB307EC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128D6DBB"/>
    <w:multiLevelType w:val="hybridMultilevel"/>
    <w:tmpl w:val="B24ECE8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187731"/>
    <w:multiLevelType w:val="hybridMultilevel"/>
    <w:tmpl w:val="D6B6AD5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FA64A1"/>
    <w:multiLevelType w:val="multilevel"/>
    <w:tmpl w:val="6D96988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21A910CB"/>
    <w:multiLevelType w:val="hybridMultilevel"/>
    <w:tmpl w:val="FF1214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BD1350"/>
    <w:multiLevelType w:val="multilevel"/>
    <w:tmpl w:val="36F6CE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E8162C"/>
    <w:multiLevelType w:val="hybridMultilevel"/>
    <w:tmpl w:val="25EAF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6E263DE"/>
    <w:multiLevelType w:val="hybridMultilevel"/>
    <w:tmpl w:val="D810595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9D91B29"/>
    <w:multiLevelType w:val="multilevel"/>
    <w:tmpl w:val="5DE225D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2EFA584F"/>
    <w:multiLevelType w:val="multilevel"/>
    <w:tmpl w:val="53C6681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34F85464"/>
    <w:multiLevelType w:val="multilevel"/>
    <w:tmpl w:val="A22846B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EA7268"/>
    <w:multiLevelType w:val="hybridMultilevel"/>
    <w:tmpl w:val="9684F0C4"/>
    <w:lvl w:ilvl="0" w:tplc="BD5CFE6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F26ABC"/>
    <w:multiLevelType w:val="multilevel"/>
    <w:tmpl w:val="1110F18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15:restartNumberingAfterBreak="0">
    <w:nsid w:val="393C7913"/>
    <w:multiLevelType w:val="multilevel"/>
    <w:tmpl w:val="2F32DC5C"/>
    <w:styleLink w:val="WWNum3"/>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6" w15:restartNumberingAfterBreak="0">
    <w:nsid w:val="41330872"/>
    <w:multiLevelType w:val="hybridMultilevel"/>
    <w:tmpl w:val="57304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26F53F9"/>
    <w:multiLevelType w:val="hybridMultilevel"/>
    <w:tmpl w:val="EE025CF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48D27FF"/>
    <w:multiLevelType w:val="multilevel"/>
    <w:tmpl w:val="37FE98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31764B"/>
    <w:multiLevelType w:val="hybridMultilevel"/>
    <w:tmpl w:val="B652E6A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82874C4"/>
    <w:multiLevelType w:val="hybridMultilevel"/>
    <w:tmpl w:val="E4A053D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9551926"/>
    <w:multiLevelType w:val="hybridMultilevel"/>
    <w:tmpl w:val="B24CC5B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1BC6993"/>
    <w:multiLevelType w:val="hybridMultilevel"/>
    <w:tmpl w:val="4FACEF42"/>
    <w:lvl w:ilvl="0" w:tplc="4BE60F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5655739"/>
    <w:multiLevelType w:val="multilevel"/>
    <w:tmpl w:val="CF4E620E"/>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4" w15:restartNumberingAfterBreak="0">
    <w:nsid w:val="578C6CEA"/>
    <w:multiLevelType w:val="multilevel"/>
    <w:tmpl w:val="1C58B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8DD6A16"/>
    <w:multiLevelType w:val="multilevel"/>
    <w:tmpl w:val="1C58B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8F5655C"/>
    <w:multiLevelType w:val="hybridMultilevel"/>
    <w:tmpl w:val="692E923E"/>
    <w:lvl w:ilvl="0" w:tplc="751649E0">
      <w:start w:val="1"/>
      <w:numFmt w:val="decimal"/>
      <w:pStyle w:val="Prrafodelista"/>
      <w:lvlText w:val="%1."/>
      <w:lvlJc w:val="left"/>
      <w:pPr>
        <w:ind w:left="1418" w:hanging="1418"/>
      </w:pPr>
      <w:rPr>
        <w:rFonts w:ascii="Calibri" w:hAnsi="Calibri" w:hint="default"/>
        <w:b/>
        <w:bCs/>
        <w:i w:val="0"/>
        <w:iCs w:val="0"/>
        <w:color w:val="303B41"/>
        <w:sz w:val="22"/>
        <w:szCs w:val="18"/>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7" w15:restartNumberingAfterBreak="0">
    <w:nsid w:val="61E676C3"/>
    <w:multiLevelType w:val="multilevel"/>
    <w:tmpl w:val="1C58B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3A92652"/>
    <w:multiLevelType w:val="multilevel"/>
    <w:tmpl w:val="BE1005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7F5C83"/>
    <w:multiLevelType w:val="hybridMultilevel"/>
    <w:tmpl w:val="238638B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69E5500"/>
    <w:multiLevelType w:val="multilevel"/>
    <w:tmpl w:val="1C58B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77F2449"/>
    <w:multiLevelType w:val="hybridMultilevel"/>
    <w:tmpl w:val="FFFFFFFF"/>
    <w:lvl w:ilvl="0" w:tplc="490805BC">
      <w:numFmt w:val="bullet"/>
      <w:lvlText w:val="-"/>
      <w:lvlJc w:val="left"/>
      <w:pPr>
        <w:ind w:left="720" w:hanging="360"/>
      </w:pPr>
      <w:rPr>
        <w:rFonts w:ascii="Calibri" w:eastAsia="Times New Roman" w:hAnsi="Calibri" w:hint="default"/>
      </w:rPr>
    </w:lvl>
    <w:lvl w:ilvl="1" w:tplc="240A0003">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86F17CC"/>
    <w:multiLevelType w:val="hybridMultilevel"/>
    <w:tmpl w:val="2CC636D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CD247A4"/>
    <w:multiLevelType w:val="hybridMultilevel"/>
    <w:tmpl w:val="4EF2F814"/>
    <w:lvl w:ilvl="0" w:tplc="EF6485F4">
      <w:start w:val="1"/>
      <w:numFmt w:val="bullet"/>
      <w:lvlText w:val="-"/>
      <w:lvlJc w:val="left"/>
      <w:pPr>
        <w:ind w:left="720" w:hanging="360"/>
      </w:pPr>
      <w:rPr>
        <w:rFonts w:ascii="Calibri" w:eastAsia="MS PGothic"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34963342">
    <w:abstractNumId w:val="0"/>
  </w:num>
  <w:num w:numId="2" w16cid:durableId="2093551775">
    <w:abstractNumId w:val="26"/>
  </w:num>
  <w:num w:numId="3" w16cid:durableId="275411083">
    <w:abstractNumId w:val="27"/>
  </w:num>
  <w:num w:numId="4" w16cid:durableId="58987838">
    <w:abstractNumId w:val="12"/>
  </w:num>
  <w:num w:numId="5" w16cid:durableId="2044746580">
    <w:abstractNumId w:val="18"/>
  </w:num>
  <w:num w:numId="6" w16cid:durableId="1924727023">
    <w:abstractNumId w:val="6"/>
  </w:num>
  <w:num w:numId="7" w16cid:durableId="2060474971">
    <w:abstractNumId w:val="9"/>
  </w:num>
  <w:num w:numId="8" w16cid:durableId="1290937762">
    <w:abstractNumId w:val="4"/>
  </w:num>
  <w:num w:numId="9" w16cid:durableId="1610427183">
    <w:abstractNumId w:val="20"/>
  </w:num>
  <w:num w:numId="10" w16cid:durableId="779881917">
    <w:abstractNumId w:val="19"/>
  </w:num>
  <w:num w:numId="11" w16cid:durableId="1562207375">
    <w:abstractNumId w:val="1"/>
  </w:num>
  <w:num w:numId="12" w16cid:durableId="74208248">
    <w:abstractNumId w:val="17"/>
  </w:num>
  <w:num w:numId="13" w16cid:durableId="551621018">
    <w:abstractNumId w:val="3"/>
  </w:num>
  <w:num w:numId="14" w16cid:durableId="1189487111">
    <w:abstractNumId w:val="29"/>
  </w:num>
  <w:num w:numId="15" w16cid:durableId="1005866271">
    <w:abstractNumId w:val="24"/>
  </w:num>
  <w:num w:numId="16" w16cid:durableId="2068531251">
    <w:abstractNumId w:val="13"/>
  </w:num>
  <w:num w:numId="17" w16cid:durableId="1475564589">
    <w:abstractNumId w:val="21"/>
  </w:num>
  <w:num w:numId="18" w16cid:durableId="1141969875">
    <w:abstractNumId w:val="32"/>
  </w:num>
  <w:num w:numId="19" w16cid:durableId="1123691119">
    <w:abstractNumId w:val="31"/>
  </w:num>
  <w:num w:numId="20" w16cid:durableId="1644847339">
    <w:abstractNumId w:val="30"/>
  </w:num>
  <w:num w:numId="21" w16cid:durableId="1818841501">
    <w:abstractNumId w:val="28"/>
  </w:num>
  <w:num w:numId="22" w16cid:durableId="1189872309">
    <w:abstractNumId w:val="7"/>
  </w:num>
  <w:num w:numId="23" w16cid:durableId="578366984">
    <w:abstractNumId w:val="22"/>
  </w:num>
  <w:num w:numId="24" w16cid:durableId="10421087">
    <w:abstractNumId w:val="16"/>
  </w:num>
  <w:num w:numId="25" w16cid:durableId="1265917591">
    <w:abstractNumId w:val="33"/>
  </w:num>
  <w:num w:numId="26" w16cid:durableId="1306161794">
    <w:abstractNumId w:val="8"/>
  </w:num>
  <w:num w:numId="27" w16cid:durableId="1688941618">
    <w:abstractNumId w:val="25"/>
  </w:num>
  <w:num w:numId="28" w16cid:durableId="2095517072">
    <w:abstractNumId w:val="23"/>
  </w:num>
  <w:num w:numId="29" w16cid:durableId="1966884242">
    <w:abstractNumId w:val="15"/>
  </w:num>
  <w:num w:numId="30" w16cid:durableId="533690377">
    <w:abstractNumId w:val="14"/>
  </w:num>
  <w:num w:numId="31" w16cid:durableId="156265304">
    <w:abstractNumId w:val="10"/>
  </w:num>
  <w:num w:numId="32" w16cid:durableId="247465037">
    <w:abstractNumId w:val="11"/>
  </w:num>
  <w:num w:numId="33" w16cid:durableId="951782126">
    <w:abstractNumId w:val="2"/>
  </w:num>
  <w:num w:numId="34" w16cid:durableId="172544819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642"/>
    <w:rsid w:val="00000A4B"/>
    <w:rsid w:val="00000DB5"/>
    <w:rsid w:val="0000110C"/>
    <w:rsid w:val="0000233A"/>
    <w:rsid w:val="00002486"/>
    <w:rsid w:val="00002C2B"/>
    <w:rsid w:val="0000396B"/>
    <w:rsid w:val="00005404"/>
    <w:rsid w:val="000068F5"/>
    <w:rsid w:val="00007798"/>
    <w:rsid w:val="00007B58"/>
    <w:rsid w:val="00007F00"/>
    <w:rsid w:val="000100EF"/>
    <w:rsid w:val="0001054E"/>
    <w:rsid w:val="00010696"/>
    <w:rsid w:val="000107A8"/>
    <w:rsid w:val="00011F4A"/>
    <w:rsid w:val="00012C16"/>
    <w:rsid w:val="0001316D"/>
    <w:rsid w:val="00013F3B"/>
    <w:rsid w:val="000140B2"/>
    <w:rsid w:val="00014B34"/>
    <w:rsid w:val="00014DA5"/>
    <w:rsid w:val="0001672B"/>
    <w:rsid w:val="00016DA2"/>
    <w:rsid w:val="00017AB0"/>
    <w:rsid w:val="0002025C"/>
    <w:rsid w:val="00022AD9"/>
    <w:rsid w:val="00022E52"/>
    <w:rsid w:val="0002377C"/>
    <w:rsid w:val="000251CB"/>
    <w:rsid w:val="00025EB5"/>
    <w:rsid w:val="000270DB"/>
    <w:rsid w:val="0003012D"/>
    <w:rsid w:val="00030C37"/>
    <w:rsid w:val="00032668"/>
    <w:rsid w:val="00033958"/>
    <w:rsid w:val="00034460"/>
    <w:rsid w:val="000344B0"/>
    <w:rsid w:val="00034F7A"/>
    <w:rsid w:val="0003527B"/>
    <w:rsid w:val="000354D7"/>
    <w:rsid w:val="00036032"/>
    <w:rsid w:val="00036AE7"/>
    <w:rsid w:val="00037913"/>
    <w:rsid w:val="0004086C"/>
    <w:rsid w:val="00040ADC"/>
    <w:rsid w:val="0004166B"/>
    <w:rsid w:val="00042C53"/>
    <w:rsid w:val="00043FF0"/>
    <w:rsid w:val="00045002"/>
    <w:rsid w:val="00045A18"/>
    <w:rsid w:val="00046F51"/>
    <w:rsid w:val="00047A33"/>
    <w:rsid w:val="00050963"/>
    <w:rsid w:val="00050D09"/>
    <w:rsid w:val="00050F93"/>
    <w:rsid w:val="0005185A"/>
    <w:rsid w:val="00051AAF"/>
    <w:rsid w:val="00052B0B"/>
    <w:rsid w:val="00053DB0"/>
    <w:rsid w:val="00053FC9"/>
    <w:rsid w:val="000546BD"/>
    <w:rsid w:val="00054D32"/>
    <w:rsid w:val="00054E43"/>
    <w:rsid w:val="00056BAF"/>
    <w:rsid w:val="00056F03"/>
    <w:rsid w:val="00057C8D"/>
    <w:rsid w:val="00057EFD"/>
    <w:rsid w:val="000613F6"/>
    <w:rsid w:val="00062466"/>
    <w:rsid w:val="00062D5F"/>
    <w:rsid w:val="000637A5"/>
    <w:rsid w:val="00063E70"/>
    <w:rsid w:val="000643B7"/>
    <w:rsid w:val="000657CB"/>
    <w:rsid w:val="00067098"/>
    <w:rsid w:val="0006762E"/>
    <w:rsid w:val="00067AC1"/>
    <w:rsid w:val="0007145A"/>
    <w:rsid w:val="000720F3"/>
    <w:rsid w:val="00072C8B"/>
    <w:rsid w:val="00072E23"/>
    <w:rsid w:val="00072E58"/>
    <w:rsid w:val="000746C2"/>
    <w:rsid w:val="00074DC3"/>
    <w:rsid w:val="00074FFF"/>
    <w:rsid w:val="00075874"/>
    <w:rsid w:val="00075CDE"/>
    <w:rsid w:val="00075E99"/>
    <w:rsid w:val="00077382"/>
    <w:rsid w:val="00080070"/>
    <w:rsid w:val="00080472"/>
    <w:rsid w:val="00080B17"/>
    <w:rsid w:val="00081DBC"/>
    <w:rsid w:val="00083537"/>
    <w:rsid w:val="00084152"/>
    <w:rsid w:val="00084DF9"/>
    <w:rsid w:val="00085561"/>
    <w:rsid w:val="000862D9"/>
    <w:rsid w:val="00086735"/>
    <w:rsid w:val="0008769F"/>
    <w:rsid w:val="0009043F"/>
    <w:rsid w:val="00091178"/>
    <w:rsid w:val="000922C0"/>
    <w:rsid w:val="000925A5"/>
    <w:rsid w:val="00093156"/>
    <w:rsid w:val="0009379A"/>
    <w:rsid w:val="00093B23"/>
    <w:rsid w:val="00094594"/>
    <w:rsid w:val="00094718"/>
    <w:rsid w:val="00094F25"/>
    <w:rsid w:val="000952A3"/>
    <w:rsid w:val="0009557C"/>
    <w:rsid w:val="00096851"/>
    <w:rsid w:val="00097457"/>
    <w:rsid w:val="0009789E"/>
    <w:rsid w:val="000A0A4C"/>
    <w:rsid w:val="000A161D"/>
    <w:rsid w:val="000A1641"/>
    <w:rsid w:val="000A2853"/>
    <w:rsid w:val="000A2A96"/>
    <w:rsid w:val="000A3C56"/>
    <w:rsid w:val="000A608F"/>
    <w:rsid w:val="000A60B9"/>
    <w:rsid w:val="000A72B4"/>
    <w:rsid w:val="000A74DB"/>
    <w:rsid w:val="000B0012"/>
    <w:rsid w:val="000B0F65"/>
    <w:rsid w:val="000B1172"/>
    <w:rsid w:val="000B2342"/>
    <w:rsid w:val="000B3454"/>
    <w:rsid w:val="000B6463"/>
    <w:rsid w:val="000B6AD6"/>
    <w:rsid w:val="000B7530"/>
    <w:rsid w:val="000C11B5"/>
    <w:rsid w:val="000C1AB9"/>
    <w:rsid w:val="000C238F"/>
    <w:rsid w:val="000C506C"/>
    <w:rsid w:val="000C7BBE"/>
    <w:rsid w:val="000C7DA1"/>
    <w:rsid w:val="000D0D76"/>
    <w:rsid w:val="000D101A"/>
    <w:rsid w:val="000D15DC"/>
    <w:rsid w:val="000D1C1F"/>
    <w:rsid w:val="000D348D"/>
    <w:rsid w:val="000D4843"/>
    <w:rsid w:val="000D4AFF"/>
    <w:rsid w:val="000D5182"/>
    <w:rsid w:val="000D5D7B"/>
    <w:rsid w:val="000D6D97"/>
    <w:rsid w:val="000D6EF7"/>
    <w:rsid w:val="000D705F"/>
    <w:rsid w:val="000D7E07"/>
    <w:rsid w:val="000D7FD3"/>
    <w:rsid w:val="000E018B"/>
    <w:rsid w:val="000E15F5"/>
    <w:rsid w:val="000E20BA"/>
    <w:rsid w:val="000E20E6"/>
    <w:rsid w:val="000E2FA9"/>
    <w:rsid w:val="000E36DA"/>
    <w:rsid w:val="000E5067"/>
    <w:rsid w:val="000E56AE"/>
    <w:rsid w:val="000E5711"/>
    <w:rsid w:val="000E6246"/>
    <w:rsid w:val="000E6E7D"/>
    <w:rsid w:val="000E7A28"/>
    <w:rsid w:val="000F028C"/>
    <w:rsid w:val="000F0D81"/>
    <w:rsid w:val="000F166B"/>
    <w:rsid w:val="000F3B84"/>
    <w:rsid w:val="000F4D89"/>
    <w:rsid w:val="00100334"/>
    <w:rsid w:val="00100DC1"/>
    <w:rsid w:val="001027DF"/>
    <w:rsid w:val="001035A7"/>
    <w:rsid w:val="00103739"/>
    <w:rsid w:val="00104AB0"/>
    <w:rsid w:val="00104F1A"/>
    <w:rsid w:val="00106130"/>
    <w:rsid w:val="0011163A"/>
    <w:rsid w:val="001118FC"/>
    <w:rsid w:val="00111D12"/>
    <w:rsid w:val="0011377D"/>
    <w:rsid w:val="00114205"/>
    <w:rsid w:val="00114439"/>
    <w:rsid w:val="001144B4"/>
    <w:rsid w:val="00114D44"/>
    <w:rsid w:val="0011533A"/>
    <w:rsid w:val="00116F75"/>
    <w:rsid w:val="00116FA3"/>
    <w:rsid w:val="001177BE"/>
    <w:rsid w:val="00122647"/>
    <w:rsid w:val="001227B4"/>
    <w:rsid w:val="0012477D"/>
    <w:rsid w:val="00124AD6"/>
    <w:rsid w:val="00125ACE"/>
    <w:rsid w:val="00125BC5"/>
    <w:rsid w:val="00125C47"/>
    <w:rsid w:val="001265F5"/>
    <w:rsid w:val="00130AA5"/>
    <w:rsid w:val="0013566E"/>
    <w:rsid w:val="001357A5"/>
    <w:rsid w:val="00135CA1"/>
    <w:rsid w:val="00141490"/>
    <w:rsid w:val="00141A94"/>
    <w:rsid w:val="00142D5D"/>
    <w:rsid w:val="0014470C"/>
    <w:rsid w:val="00144F96"/>
    <w:rsid w:val="00145B1C"/>
    <w:rsid w:val="00145FC1"/>
    <w:rsid w:val="00146C62"/>
    <w:rsid w:val="00146F6B"/>
    <w:rsid w:val="001479BF"/>
    <w:rsid w:val="00147C52"/>
    <w:rsid w:val="00150548"/>
    <w:rsid w:val="001513FF"/>
    <w:rsid w:val="00152648"/>
    <w:rsid w:val="00152C58"/>
    <w:rsid w:val="00152DE7"/>
    <w:rsid w:val="00152F36"/>
    <w:rsid w:val="00152FC0"/>
    <w:rsid w:val="0015443A"/>
    <w:rsid w:val="00154C16"/>
    <w:rsid w:val="00155698"/>
    <w:rsid w:val="0015686D"/>
    <w:rsid w:val="00157DA7"/>
    <w:rsid w:val="0016070E"/>
    <w:rsid w:val="0016088A"/>
    <w:rsid w:val="00164272"/>
    <w:rsid w:val="001655FF"/>
    <w:rsid w:val="00166D36"/>
    <w:rsid w:val="00167838"/>
    <w:rsid w:val="00167CC3"/>
    <w:rsid w:val="00170E9E"/>
    <w:rsid w:val="001715C8"/>
    <w:rsid w:val="00171D5A"/>
    <w:rsid w:val="00171EE7"/>
    <w:rsid w:val="0017382B"/>
    <w:rsid w:val="0017506B"/>
    <w:rsid w:val="001751D5"/>
    <w:rsid w:val="001751F4"/>
    <w:rsid w:val="00175CF4"/>
    <w:rsid w:val="00176031"/>
    <w:rsid w:val="001762F0"/>
    <w:rsid w:val="00180988"/>
    <w:rsid w:val="00181053"/>
    <w:rsid w:val="001816A3"/>
    <w:rsid w:val="001819AA"/>
    <w:rsid w:val="00182645"/>
    <w:rsid w:val="00182FAB"/>
    <w:rsid w:val="00187E8A"/>
    <w:rsid w:val="00190AF4"/>
    <w:rsid w:val="00191DCB"/>
    <w:rsid w:val="0019235A"/>
    <w:rsid w:val="00192C26"/>
    <w:rsid w:val="00194814"/>
    <w:rsid w:val="00194D55"/>
    <w:rsid w:val="00196771"/>
    <w:rsid w:val="0019746E"/>
    <w:rsid w:val="00197491"/>
    <w:rsid w:val="001A00B6"/>
    <w:rsid w:val="001A0F6A"/>
    <w:rsid w:val="001A28FE"/>
    <w:rsid w:val="001A2BB7"/>
    <w:rsid w:val="001A4369"/>
    <w:rsid w:val="001A6369"/>
    <w:rsid w:val="001A68F5"/>
    <w:rsid w:val="001B0843"/>
    <w:rsid w:val="001B0B74"/>
    <w:rsid w:val="001B1AB4"/>
    <w:rsid w:val="001B1D0F"/>
    <w:rsid w:val="001B2F2C"/>
    <w:rsid w:val="001B3140"/>
    <w:rsid w:val="001B5302"/>
    <w:rsid w:val="001B5690"/>
    <w:rsid w:val="001B62A1"/>
    <w:rsid w:val="001B7C66"/>
    <w:rsid w:val="001C0228"/>
    <w:rsid w:val="001C04BB"/>
    <w:rsid w:val="001C08BE"/>
    <w:rsid w:val="001C2FD0"/>
    <w:rsid w:val="001C4544"/>
    <w:rsid w:val="001C46D7"/>
    <w:rsid w:val="001C6C61"/>
    <w:rsid w:val="001C7230"/>
    <w:rsid w:val="001C761C"/>
    <w:rsid w:val="001C775E"/>
    <w:rsid w:val="001C7F1F"/>
    <w:rsid w:val="001D01D4"/>
    <w:rsid w:val="001D03C3"/>
    <w:rsid w:val="001D0BE1"/>
    <w:rsid w:val="001D1C98"/>
    <w:rsid w:val="001D2D2C"/>
    <w:rsid w:val="001D36B7"/>
    <w:rsid w:val="001D3DD5"/>
    <w:rsid w:val="001D3E3A"/>
    <w:rsid w:val="001D42D3"/>
    <w:rsid w:val="001D4568"/>
    <w:rsid w:val="001D499F"/>
    <w:rsid w:val="001D579E"/>
    <w:rsid w:val="001D6D74"/>
    <w:rsid w:val="001E07CB"/>
    <w:rsid w:val="001E0A4A"/>
    <w:rsid w:val="001E1121"/>
    <w:rsid w:val="001E1C52"/>
    <w:rsid w:val="001E1EE8"/>
    <w:rsid w:val="001E2B4E"/>
    <w:rsid w:val="001E2BFA"/>
    <w:rsid w:val="001E2D8D"/>
    <w:rsid w:val="001E3F63"/>
    <w:rsid w:val="001E4998"/>
    <w:rsid w:val="001E4F48"/>
    <w:rsid w:val="001E5485"/>
    <w:rsid w:val="001E5716"/>
    <w:rsid w:val="001E5D94"/>
    <w:rsid w:val="001E6379"/>
    <w:rsid w:val="001E7988"/>
    <w:rsid w:val="001E7BAD"/>
    <w:rsid w:val="001E7C2A"/>
    <w:rsid w:val="001E7E04"/>
    <w:rsid w:val="001F18D2"/>
    <w:rsid w:val="001F1922"/>
    <w:rsid w:val="001F1ECB"/>
    <w:rsid w:val="001F1FBE"/>
    <w:rsid w:val="001F2B18"/>
    <w:rsid w:val="001F38DB"/>
    <w:rsid w:val="001F49FE"/>
    <w:rsid w:val="001F4CFF"/>
    <w:rsid w:val="001F6053"/>
    <w:rsid w:val="001F750A"/>
    <w:rsid w:val="001F770D"/>
    <w:rsid w:val="00200361"/>
    <w:rsid w:val="00201AD0"/>
    <w:rsid w:val="00201E6D"/>
    <w:rsid w:val="002036A2"/>
    <w:rsid w:val="00203CDC"/>
    <w:rsid w:val="00204516"/>
    <w:rsid w:val="00205154"/>
    <w:rsid w:val="002062DF"/>
    <w:rsid w:val="00206470"/>
    <w:rsid w:val="002069ED"/>
    <w:rsid w:val="002070CC"/>
    <w:rsid w:val="00212762"/>
    <w:rsid w:val="00212983"/>
    <w:rsid w:val="002131B6"/>
    <w:rsid w:val="00213CED"/>
    <w:rsid w:val="0021420C"/>
    <w:rsid w:val="0021465E"/>
    <w:rsid w:val="00215B26"/>
    <w:rsid w:val="00215BB1"/>
    <w:rsid w:val="00216D65"/>
    <w:rsid w:val="00220037"/>
    <w:rsid w:val="0022035C"/>
    <w:rsid w:val="002217FB"/>
    <w:rsid w:val="00222572"/>
    <w:rsid w:val="002225BB"/>
    <w:rsid w:val="00223D20"/>
    <w:rsid w:val="0022634B"/>
    <w:rsid w:val="00230C4A"/>
    <w:rsid w:val="002319CF"/>
    <w:rsid w:val="002322F1"/>
    <w:rsid w:val="002328D6"/>
    <w:rsid w:val="00232B70"/>
    <w:rsid w:val="00233BD1"/>
    <w:rsid w:val="00233D2F"/>
    <w:rsid w:val="00233F36"/>
    <w:rsid w:val="002344DD"/>
    <w:rsid w:val="002348F1"/>
    <w:rsid w:val="00234C0A"/>
    <w:rsid w:val="00235D23"/>
    <w:rsid w:val="002366C2"/>
    <w:rsid w:val="00236D5D"/>
    <w:rsid w:val="00237D43"/>
    <w:rsid w:val="00244784"/>
    <w:rsid w:val="002457EB"/>
    <w:rsid w:val="00245B97"/>
    <w:rsid w:val="002501D1"/>
    <w:rsid w:val="00251740"/>
    <w:rsid w:val="002522A2"/>
    <w:rsid w:val="002538AD"/>
    <w:rsid w:val="00253A90"/>
    <w:rsid w:val="00253D07"/>
    <w:rsid w:val="00254129"/>
    <w:rsid w:val="0025502D"/>
    <w:rsid w:val="002552A2"/>
    <w:rsid w:val="00255CF1"/>
    <w:rsid w:val="002570EE"/>
    <w:rsid w:val="002578B0"/>
    <w:rsid w:val="00260EF6"/>
    <w:rsid w:val="00261A26"/>
    <w:rsid w:val="00261C20"/>
    <w:rsid w:val="002621BD"/>
    <w:rsid w:val="00263E57"/>
    <w:rsid w:val="002643D6"/>
    <w:rsid w:val="00266DE7"/>
    <w:rsid w:val="00270CBA"/>
    <w:rsid w:val="00273991"/>
    <w:rsid w:val="00274AB4"/>
    <w:rsid w:val="00275529"/>
    <w:rsid w:val="00276725"/>
    <w:rsid w:val="00277EEE"/>
    <w:rsid w:val="00277F2E"/>
    <w:rsid w:val="0028060C"/>
    <w:rsid w:val="002811C5"/>
    <w:rsid w:val="00281F38"/>
    <w:rsid w:val="002825C7"/>
    <w:rsid w:val="00282A61"/>
    <w:rsid w:val="002835F0"/>
    <w:rsid w:val="00283775"/>
    <w:rsid w:val="00283C63"/>
    <w:rsid w:val="00286456"/>
    <w:rsid w:val="00286772"/>
    <w:rsid w:val="00286DE2"/>
    <w:rsid w:val="00287A0D"/>
    <w:rsid w:val="002900FD"/>
    <w:rsid w:val="00290D99"/>
    <w:rsid w:val="00291812"/>
    <w:rsid w:val="00291E05"/>
    <w:rsid w:val="00291E67"/>
    <w:rsid w:val="00293521"/>
    <w:rsid w:val="00293D14"/>
    <w:rsid w:val="00294460"/>
    <w:rsid w:val="00294914"/>
    <w:rsid w:val="00295A08"/>
    <w:rsid w:val="00296C83"/>
    <w:rsid w:val="00297637"/>
    <w:rsid w:val="00297B51"/>
    <w:rsid w:val="002A0542"/>
    <w:rsid w:val="002A095F"/>
    <w:rsid w:val="002A0E75"/>
    <w:rsid w:val="002A1207"/>
    <w:rsid w:val="002A13A5"/>
    <w:rsid w:val="002A7623"/>
    <w:rsid w:val="002B1036"/>
    <w:rsid w:val="002B12C2"/>
    <w:rsid w:val="002B1FAE"/>
    <w:rsid w:val="002B2B7F"/>
    <w:rsid w:val="002B42BF"/>
    <w:rsid w:val="002B72B0"/>
    <w:rsid w:val="002B781C"/>
    <w:rsid w:val="002C03D0"/>
    <w:rsid w:val="002C0FFD"/>
    <w:rsid w:val="002C4ABC"/>
    <w:rsid w:val="002D05BD"/>
    <w:rsid w:val="002D279A"/>
    <w:rsid w:val="002D3ABA"/>
    <w:rsid w:val="002D43AF"/>
    <w:rsid w:val="002D5142"/>
    <w:rsid w:val="002D5484"/>
    <w:rsid w:val="002D73A6"/>
    <w:rsid w:val="002E0AD5"/>
    <w:rsid w:val="002E1715"/>
    <w:rsid w:val="002E1AA5"/>
    <w:rsid w:val="002E2648"/>
    <w:rsid w:val="002E281A"/>
    <w:rsid w:val="002E4265"/>
    <w:rsid w:val="002E52AF"/>
    <w:rsid w:val="002E53DD"/>
    <w:rsid w:val="002E565C"/>
    <w:rsid w:val="002E5742"/>
    <w:rsid w:val="002E677E"/>
    <w:rsid w:val="002F14C5"/>
    <w:rsid w:val="002F1882"/>
    <w:rsid w:val="002F1B58"/>
    <w:rsid w:val="002F2FB4"/>
    <w:rsid w:val="002F5EF6"/>
    <w:rsid w:val="002F6156"/>
    <w:rsid w:val="002F6AD4"/>
    <w:rsid w:val="002F7940"/>
    <w:rsid w:val="002F7C86"/>
    <w:rsid w:val="00300305"/>
    <w:rsid w:val="00301EE9"/>
    <w:rsid w:val="00302125"/>
    <w:rsid w:val="0030256E"/>
    <w:rsid w:val="003038BE"/>
    <w:rsid w:val="0030492B"/>
    <w:rsid w:val="003060D5"/>
    <w:rsid w:val="00306DB7"/>
    <w:rsid w:val="0030755B"/>
    <w:rsid w:val="00311E03"/>
    <w:rsid w:val="0031207A"/>
    <w:rsid w:val="003143F4"/>
    <w:rsid w:val="003148BA"/>
    <w:rsid w:val="00314BB0"/>
    <w:rsid w:val="00314C67"/>
    <w:rsid w:val="00314D94"/>
    <w:rsid w:val="003157C5"/>
    <w:rsid w:val="00315E4A"/>
    <w:rsid w:val="0031621C"/>
    <w:rsid w:val="00316ED2"/>
    <w:rsid w:val="00317247"/>
    <w:rsid w:val="0031785E"/>
    <w:rsid w:val="00317A4B"/>
    <w:rsid w:val="00324E12"/>
    <w:rsid w:val="003256D4"/>
    <w:rsid w:val="00325C6A"/>
    <w:rsid w:val="003268A2"/>
    <w:rsid w:val="003271CA"/>
    <w:rsid w:val="0033014B"/>
    <w:rsid w:val="00332659"/>
    <w:rsid w:val="00332CBC"/>
    <w:rsid w:val="00335123"/>
    <w:rsid w:val="00335AE8"/>
    <w:rsid w:val="00336834"/>
    <w:rsid w:val="00336A83"/>
    <w:rsid w:val="00337A77"/>
    <w:rsid w:val="00341DA4"/>
    <w:rsid w:val="00341EDB"/>
    <w:rsid w:val="00341FA6"/>
    <w:rsid w:val="00343642"/>
    <w:rsid w:val="003438BB"/>
    <w:rsid w:val="0034593F"/>
    <w:rsid w:val="00345BCC"/>
    <w:rsid w:val="00346581"/>
    <w:rsid w:val="00346C03"/>
    <w:rsid w:val="00346C81"/>
    <w:rsid w:val="00350432"/>
    <w:rsid w:val="00350932"/>
    <w:rsid w:val="00353765"/>
    <w:rsid w:val="00353959"/>
    <w:rsid w:val="003546FA"/>
    <w:rsid w:val="00355C67"/>
    <w:rsid w:val="00356CE2"/>
    <w:rsid w:val="003574AA"/>
    <w:rsid w:val="00360B5C"/>
    <w:rsid w:val="003617CF"/>
    <w:rsid w:val="00361D1F"/>
    <w:rsid w:val="00362495"/>
    <w:rsid w:val="00362540"/>
    <w:rsid w:val="00362FD6"/>
    <w:rsid w:val="00363688"/>
    <w:rsid w:val="003637F8"/>
    <w:rsid w:val="00366B6E"/>
    <w:rsid w:val="00366D4C"/>
    <w:rsid w:val="0037065D"/>
    <w:rsid w:val="00370672"/>
    <w:rsid w:val="003719AC"/>
    <w:rsid w:val="003728E6"/>
    <w:rsid w:val="003738DD"/>
    <w:rsid w:val="003742FA"/>
    <w:rsid w:val="00374B2A"/>
    <w:rsid w:val="00375E17"/>
    <w:rsid w:val="003819ED"/>
    <w:rsid w:val="00381DA2"/>
    <w:rsid w:val="0038296D"/>
    <w:rsid w:val="0038330E"/>
    <w:rsid w:val="00384DDA"/>
    <w:rsid w:val="003854E1"/>
    <w:rsid w:val="00387AF5"/>
    <w:rsid w:val="00391825"/>
    <w:rsid w:val="00391B0B"/>
    <w:rsid w:val="0039288D"/>
    <w:rsid w:val="00393B1C"/>
    <w:rsid w:val="0039448E"/>
    <w:rsid w:val="003957B9"/>
    <w:rsid w:val="003A0088"/>
    <w:rsid w:val="003A036E"/>
    <w:rsid w:val="003A06FC"/>
    <w:rsid w:val="003A3835"/>
    <w:rsid w:val="003A3A48"/>
    <w:rsid w:val="003A56E4"/>
    <w:rsid w:val="003A642C"/>
    <w:rsid w:val="003A72D3"/>
    <w:rsid w:val="003A7697"/>
    <w:rsid w:val="003B2541"/>
    <w:rsid w:val="003B261E"/>
    <w:rsid w:val="003B3968"/>
    <w:rsid w:val="003B4337"/>
    <w:rsid w:val="003B5CDE"/>
    <w:rsid w:val="003B6A0B"/>
    <w:rsid w:val="003C07FA"/>
    <w:rsid w:val="003C1675"/>
    <w:rsid w:val="003C1A3E"/>
    <w:rsid w:val="003C3D83"/>
    <w:rsid w:val="003C4DC6"/>
    <w:rsid w:val="003C4DDB"/>
    <w:rsid w:val="003D206C"/>
    <w:rsid w:val="003D49C4"/>
    <w:rsid w:val="003D5B28"/>
    <w:rsid w:val="003D6A06"/>
    <w:rsid w:val="003D7EBC"/>
    <w:rsid w:val="003E0118"/>
    <w:rsid w:val="003E0166"/>
    <w:rsid w:val="003E22B4"/>
    <w:rsid w:val="003E2F22"/>
    <w:rsid w:val="003E3A59"/>
    <w:rsid w:val="003E3B24"/>
    <w:rsid w:val="003E4715"/>
    <w:rsid w:val="003E4EF1"/>
    <w:rsid w:val="003E7405"/>
    <w:rsid w:val="003F2652"/>
    <w:rsid w:val="003F31B7"/>
    <w:rsid w:val="003F39E4"/>
    <w:rsid w:val="003F565B"/>
    <w:rsid w:val="003F5BA5"/>
    <w:rsid w:val="003F6949"/>
    <w:rsid w:val="003F6C25"/>
    <w:rsid w:val="003F6DC1"/>
    <w:rsid w:val="003F7590"/>
    <w:rsid w:val="003F7A17"/>
    <w:rsid w:val="004002EA"/>
    <w:rsid w:val="00400ED6"/>
    <w:rsid w:val="00401FBD"/>
    <w:rsid w:val="00402B6E"/>
    <w:rsid w:val="00403766"/>
    <w:rsid w:val="00403CB2"/>
    <w:rsid w:val="0040520C"/>
    <w:rsid w:val="00405D7D"/>
    <w:rsid w:val="004069A6"/>
    <w:rsid w:val="004072CF"/>
    <w:rsid w:val="00407662"/>
    <w:rsid w:val="00407ABC"/>
    <w:rsid w:val="00411198"/>
    <w:rsid w:val="00412D99"/>
    <w:rsid w:val="00413E1D"/>
    <w:rsid w:val="00416181"/>
    <w:rsid w:val="00417DD5"/>
    <w:rsid w:val="004207E3"/>
    <w:rsid w:val="004210BA"/>
    <w:rsid w:val="00422496"/>
    <w:rsid w:val="004229F7"/>
    <w:rsid w:val="00424FEB"/>
    <w:rsid w:val="00425303"/>
    <w:rsid w:val="0042592C"/>
    <w:rsid w:val="00425BDE"/>
    <w:rsid w:val="00427E2F"/>
    <w:rsid w:val="004312DE"/>
    <w:rsid w:val="00431F64"/>
    <w:rsid w:val="0043240A"/>
    <w:rsid w:val="004331F4"/>
    <w:rsid w:val="004335C6"/>
    <w:rsid w:val="00434275"/>
    <w:rsid w:val="00434A55"/>
    <w:rsid w:val="00434C9C"/>
    <w:rsid w:val="004364B2"/>
    <w:rsid w:val="00436D81"/>
    <w:rsid w:val="004377CC"/>
    <w:rsid w:val="00441C63"/>
    <w:rsid w:val="00442160"/>
    <w:rsid w:val="00443595"/>
    <w:rsid w:val="004439FF"/>
    <w:rsid w:val="0044477B"/>
    <w:rsid w:val="00445111"/>
    <w:rsid w:val="00445BBA"/>
    <w:rsid w:val="00446120"/>
    <w:rsid w:val="0044656B"/>
    <w:rsid w:val="00447B63"/>
    <w:rsid w:val="00450492"/>
    <w:rsid w:val="00450D56"/>
    <w:rsid w:val="004511B4"/>
    <w:rsid w:val="004518D5"/>
    <w:rsid w:val="00455208"/>
    <w:rsid w:val="00455D18"/>
    <w:rsid w:val="0045677E"/>
    <w:rsid w:val="00457121"/>
    <w:rsid w:val="0045797A"/>
    <w:rsid w:val="00457F29"/>
    <w:rsid w:val="004610E3"/>
    <w:rsid w:val="00461E7E"/>
    <w:rsid w:val="0046208F"/>
    <w:rsid w:val="004628DA"/>
    <w:rsid w:val="00465996"/>
    <w:rsid w:val="0046693B"/>
    <w:rsid w:val="00466C8C"/>
    <w:rsid w:val="004676EC"/>
    <w:rsid w:val="00470944"/>
    <w:rsid w:val="00472B4B"/>
    <w:rsid w:val="00472D63"/>
    <w:rsid w:val="0047499B"/>
    <w:rsid w:val="00474CD4"/>
    <w:rsid w:val="00475B2C"/>
    <w:rsid w:val="00476376"/>
    <w:rsid w:val="00477453"/>
    <w:rsid w:val="00477C24"/>
    <w:rsid w:val="00480BD2"/>
    <w:rsid w:val="00480E9A"/>
    <w:rsid w:val="004818B6"/>
    <w:rsid w:val="00483961"/>
    <w:rsid w:val="00484A2A"/>
    <w:rsid w:val="00491C01"/>
    <w:rsid w:val="0049279E"/>
    <w:rsid w:val="00492957"/>
    <w:rsid w:val="004937C6"/>
    <w:rsid w:val="00493C82"/>
    <w:rsid w:val="00493F4D"/>
    <w:rsid w:val="0049553D"/>
    <w:rsid w:val="00495564"/>
    <w:rsid w:val="004957B2"/>
    <w:rsid w:val="00496BAA"/>
    <w:rsid w:val="004A0C33"/>
    <w:rsid w:val="004A0FB5"/>
    <w:rsid w:val="004A1369"/>
    <w:rsid w:val="004A1796"/>
    <w:rsid w:val="004A34FC"/>
    <w:rsid w:val="004A36EA"/>
    <w:rsid w:val="004A4078"/>
    <w:rsid w:val="004A44BC"/>
    <w:rsid w:val="004A7C5C"/>
    <w:rsid w:val="004B183D"/>
    <w:rsid w:val="004B22CB"/>
    <w:rsid w:val="004B2EC7"/>
    <w:rsid w:val="004B3CA2"/>
    <w:rsid w:val="004B3CCA"/>
    <w:rsid w:val="004B4357"/>
    <w:rsid w:val="004B4879"/>
    <w:rsid w:val="004B48E1"/>
    <w:rsid w:val="004B5205"/>
    <w:rsid w:val="004B527B"/>
    <w:rsid w:val="004B5749"/>
    <w:rsid w:val="004B6151"/>
    <w:rsid w:val="004C27A8"/>
    <w:rsid w:val="004C3760"/>
    <w:rsid w:val="004C794C"/>
    <w:rsid w:val="004D2533"/>
    <w:rsid w:val="004D2588"/>
    <w:rsid w:val="004D25F3"/>
    <w:rsid w:val="004D2F2C"/>
    <w:rsid w:val="004D3F75"/>
    <w:rsid w:val="004D4412"/>
    <w:rsid w:val="004D4F14"/>
    <w:rsid w:val="004D4FE7"/>
    <w:rsid w:val="004D6A4C"/>
    <w:rsid w:val="004E1294"/>
    <w:rsid w:val="004E2187"/>
    <w:rsid w:val="004E29B9"/>
    <w:rsid w:val="004E2ACF"/>
    <w:rsid w:val="004E4DE0"/>
    <w:rsid w:val="004E4EA1"/>
    <w:rsid w:val="004E52E9"/>
    <w:rsid w:val="004F1BA0"/>
    <w:rsid w:val="004F21B3"/>
    <w:rsid w:val="004F2457"/>
    <w:rsid w:val="004F35B1"/>
    <w:rsid w:val="004F525D"/>
    <w:rsid w:val="004F536B"/>
    <w:rsid w:val="004F61B1"/>
    <w:rsid w:val="004F68EF"/>
    <w:rsid w:val="004F694A"/>
    <w:rsid w:val="00500E68"/>
    <w:rsid w:val="00500F43"/>
    <w:rsid w:val="005010D4"/>
    <w:rsid w:val="005022D4"/>
    <w:rsid w:val="00503080"/>
    <w:rsid w:val="00503D10"/>
    <w:rsid w:val="005043D7"/>
    <w:rsid w:val="00505D36"/>
    <w:rsid w:val="00505DE0"/>
    <w:rsid w:val="0050678F"/>
    <w:rsid w:val="00506DB6"/>
    <w:rsid w:val="00507DDC"/>
    <w:rsid w:val="005104FB"/>
    <w:rsid w:val="005107A8"/>
    <w:rsid w:val="0051106D"/>
    <w:rsid w:val="00513644"/>
    <w:rsid w:val="00513903"/>
    <w:rsid w:val="00513BB2"/>
    <w:rsid w:val="00514955"/>
    <w:rsid w:val="00516802"/>
    <w:rsid w:val="00520844"/>
    <w:rsid w:val="00521D21"/>
    <w:rsid w:val="0052263C"/>
    <w:rsid w:val="005230D5"/>
    <w:rsid w:val="00523706"/>
    <w:rsid w:val="005255D3"/>
    <w:rsid w:val="00525821"/>
    <w:rsid w:val="00525DBD"/>
    <w:rsid w:val="00526FA6"/>
    <w:rsid w:val="00527C45"/>
    <w:rsid w:val="005301F4"/>
    <w:rsid w:val="00530266"/>
    <w:rsid w:val="00530592"/>
    <w:rsid w:val="00531396"/>
    <w:rsid w:val="005328FC"/>
    <w:rsid w:val="00533089"/>
    <w:rsid w:val="0053364B"/>
    <w:rsid w:val="00535673"/>
    <w:rsid w:val="00535DE8"/>
    <w:rsid w:val="0053611D"/>
    <w:rsid w:val="0054060F"/>
    <w:rsid w:val="0054118C"/>
    <w:rsid w:val="00543246"/>
    <w:rsid w:val="00543C2C"/>
    <w:rsid w:val="00543F13"/>
    <w:rsid w:val="005442BF"/>
    <w:rsid w:val="00544309"/>
    <w:rsid w:val="0054624A"/>
    <w:rsid w:val="00546F24"/>
    <w:rsid w:val="00546F4C"/>
    <w:rsid w:val="00547A67"/>
    <w:rsid w:val="005527C2"/>
    <w:rsid w:val="00552D02"/>
    <w:rsid w:val="00552FB2"/>
    <w:rsid w:val="00553AF3"/>
    <w:rsid w:val="005540A6"/>
    <w:rsid w:val="005554E5"/>
    <w:rsid w:val="00556AA3"/>
    <w:rsid w:val="00560150"/>
    <w:rsid w:val="005609E7"/>
    <w:rsid w:val="0056108B"/>
    <w:rsid w:val="00562134"/>
    <w:rsid w:val="005621CE"/>
    <w:rsid w:val="005623E5"/>
    <w:rsid w:val="00564430"/>
    <w:rsid w:val="00564BF3"/>
    <w:rsid w:val="00565E94"/>
    <w:rsid w:val="00566216"/>
    <w:rsid w:val="00566606"/>
    <w:rsid w:val="0056748A"/>
    <w:rsid w:val="00570300"/>
    <w:rsid w:val="005728DA"/>
    <w:rsid w:val="00572C92"/>
    <w:rsid w:val="00573579"/>
    <w:rsid w:val="0057390C"/>
    <w:rsid w:val="00575001"/>
    <w:rsid w:val="00575CB4"/>
    <w:rsid w:val="005764DE"/>
    <w:rsid w:val="005768B9"/>
    <w:rsid w:val="00576FCB"/>
    <w:rsid w:val="0057720F"/>
    <w:rsid w:val="0057742F"/>
    <w:rsid w:val="00580006"/>
    <w:rsid w:val="00580283"/>
    <w:rsid w:val="0058084B"/>
    <w:rsid w:val="00582296"/>
    <w:rsid w:val="00585009"/>
    <w:rsid w:val="0058503B"/>
    <w:rsid w:val="00585D7D"/>
    <w:rsid w:val="005867F2"/>
    <w:rsid w:val="00586A11"/>
    <w:rsid w:val="005912CA"/>
    <w:rsid w:val="00592123"/>
    <w:rsid w:val="00593065"/>
    <w:rsid w:val="0059634C"/>
    <w:rsid w:val="005963D3"/>
    <w:rsid w:val="005972EC"/>
    <w:rsid w:val="00597E4C"/>
    <w:rsid w:val="005A01BC"/>
    <w:rsid w:val="005A2E65"/>
    <w:rsid w:val="005A42BE"/>
    <w:rsid w:val="005A5849"/>
    <w:rsid w:val="005A5BC4"/>
    <w:rsid w:val="005A60AD"/>
    <w:rsid w:val="005A7DBA"/>
    <w:rsid w:val="005A7F24"/>
    <w:rsid w:val="005B17F2"/>
    <w:rsid w:val="005B21FA"/>
    <w:rsid w:val="005B2876"/>
    <w:rsid w:val="005B2B04"/>
    <w:rsid w:val="005B482A"/>
    <w:rsid w:val="005B4ED9"/>
    <w:rsid w:val="005B5BA5"/>
    <w:rsid w:val="005B64CD"/>
    <w:rsid w:val="005B7664"/>
    <w:rsid w:val="005C0560"/>
    <w:rsid w:val="005C09D0"/>
    <w:rsid w:val="005C18DE"/>
    <w:rsid w:val="005C19E1"/>
    <w:rsid w:val="005C63BE"/>
    <w:rsid w:val="005C72A9"/>
    <w:rsid w:val="005C77D9"/>
    <w:rsid w:val="005D0543"/>
    <w:rsid w:val="005D0A36"/>
    <w:rsid w:val="005D2194"/>
    <w:rsid w:val="005D267A"/>
    <w:rsid w:val="005D3DE8"/>
    <w:rsid w:val="005D6B4E"/>
    <w:rsid w:val="005E25BF"/>
    <w:rsid w:val="005E3556"/>
    <w:rsid w:val="005E3721"/>
    <w:rsid w:val="005E3977"/>
    <w:rsid w:val="005E4160"/>
    <w:rsid w:val="005E42B9"/>
    <w:rsid w:val="005E582F"/>
    <w:rsid w:val="005E5A77"/>
    <w:rsid w:val="005F033E"/>
    <w:rsid w:val="005F11B8"/>
    <w:rsid w:val="005F2ABD"/>
    <w:rsid w:val="005F4034"/>
    <w:rsid w:val="005F46F2"/>
    <w:rsid w:val="005F514F"/>
    <w:rsid w:val="005F567B"/>
    <w:rsid w:val="005F5857"/>
    <w:rsid w:val="005F7000"/>
    <w:rsid w:val="005F7720"/>
    <w:rsid w:val="005F7EE9"/>
    <w:rsid w:val="00600637"/>
    <w:rsid w:val="006011C7"/>
    <w:rsid w:val="00601876"/>
    <w:rsid w:val="00603201"/>
    <w:rsid w:val="00604157"/>
    <w:rsid w:val="006070D6"/>
    <w:rsid w:val="00607A30"/>
    <w:rsid w:val="00612D75"/>
    <w:rsid w:val="00615BFD"/>
    <w:rsid w:val="006165F8"/>
    <w:rsid w:val="00621469"/>
    <w:rsid w:val="00621EC9"/>
    <w:rsid w:val="0062251A"/>
    <w:rsid w:val="00622537"/>
    <w:rsid w:val="006230C9"/>
    <w:rsid w:val="0062352C"/>
    <w:rsid w:val="006236A9"/>
    <w:rsid w:val="006255DC"/>
    <w:rsid w:val="006258ED"/>
    <w:rsid w:val="00633439"/>
    <w:rsid w:val="00633478"/>
    <w:rsid w:val="00634313"/>
    <w:rsid w:val="00634CB5"/>
    <w:rsid w:val="00634E1C"/>
    <w:rsid w:val="006369E6"/>
    <w:rsid w:val="0063751B"/>
    <w:rsid w:val="006411E7"/>
    <w:rsid w:val="006428D8"/>
    <w:rsid w:val="006429D2"/>
    <w:rsid w:val="00644981"/>
    <w:rsid w:val="00646D0E"/>
    <w:rsid w:val="00647AD3"/>
    <w:rsid w:val="00651EC9"/>
    <w:rsid w:val="006526CC"/>
    <w:rsid w:val="00652BF5"/>
    <w:rsid w:val="00652C95"/>
    <w:rsid w:val="00653085"/>
    <w:rsid w:val="0065341F"/>
    <w:rsid w:val="00653D93"/>
    <w:rsid w:val="00655308"/>
    <w:rsid w:val="00657612"/>
    <w:rsid w:val="0066009E"/>
    <w:rsid w:val="00660975"/>
    <w:rsid w:val="006617B1"/>
    <w:rsid w:val="00661C10"/>
    <w:rsid w:val="006621DE"/>
    <w:rsid w:val="00663C6C"/>
    <w:rsid w:val="00665074"/>
    <w:rsid w:val="00666031"/>
    <w:rsid w:val="0066630B"/>
    <w:rsid w:val="006668E3"/>
    <w:rsid w:val="00666BF9"/>
    <w:rsid w:val="006672DD"/>
    <w:rsid w:val="00667DFB"/>
    <w:rsid w:val="006709D3"/>
    <w:rsid w:val="00670B90"/>
    <w:rsid w:val="00670E6B"/>
    <w:rsid w:val="00671097"/>
    <w:rsid w:val="006711D8"/>
    <w:rsid w:val="0067137E"/>
    <w:rsid w:val="00671973"/>
    <w:rsid w:val="00671F17"/>
    <w:rsid w:val="00672635"/>
    <w:rsid w:val="00672A70"/>
    <w:rsid w:val="00673759"/>
    <w:rsid w:val="00673F6C"/>
    <w:rsid w:val="00674D1A"/>
    <w:rsid w:val="0067562E"/>
    <w:rsid w:val="00675A99"/>
    <w:rsid w:val="006765D0"/>
    <w:rsid w:val="00677609"/>
    <w:rsid w:val="006777BA"/>
    <w:rsid w:val="006816A4"/>
    <w:rsid w:val="0068190B"/>
    <w:rsid w:val="00683074"/>
    <w:rsid w:val="0068662A"/>
    <w:rsid w:val="006922F1"/>
    <w:rsid w:val="006942E5"/>
    <w:rsid w:val="006946F2"/>
    <w:rsid w:val="0069650E"/>
    <w:rsid w:val="00696CCB"/>
    <w:rsid w:val="0069731A"/>
    <w:rsid w:val="006A0488"/>
    <w:rsid w:val="006A1367"/>
    <w:rsid w:val="006A1B1C"/>
    <w:rsid w:val="006A286F"/>
    <w:rsid w:val="006A29A3"/>
    <w:rsid w:val="006A39ED"/>
    <w:rsid w:val="006A40EF"/>
    <w:rsid w:val="006A72A0"/>
    <w:rsid w:val="006B01CF"/>
    <w:rsid w:val="006B107E"/>
    <w:rsid w:val="006B237A"/>
    <w:rsid w:val="006B29B4"/>
    <w:rsid w:val="006B3862"/>
    <w:rsid w:val="006B484A"/>
    <w:rsid w:val="006B4923"/>
    <w:rsid w:val="006B4E79"/>
    <w:rsid w:val="006B6D58"/>
    <w:rsid w:val="006B7521"/>
    <w:rsid w:val="006C0AF6"/>
    <w:rsid w:val="006C1C20"/>
    <w:rsid w:val="006C2C2E"/>
    <w:rsid w:val="006C356E"/>
    <w:rsid w:val="006C3ADF"/>
    <w:rsid w:val="006C4060"/>
    <w:rsid w:val="006C5799"/>
    <w:rsid w:val="006C6A58"/>
    <w:rsid w:val="006C79E3"/>
    <w:rsid w:val="006D126F"/>
    <w:rsid w:val="006D1327"/>
    <w:rsid w:val="006D4413"/>
    <w:rsid w:val="006D4C12"/>
    <w:rsid w:val="006D588D"/>
    <w:rsid w:val="006D677F"/>
    <w:rsid w:val="006D6CA5"/>
    <w:rsid w:val="006D7183"/>
    <w:rsid w:val="006D741A"/>
    <w:rsid w:val="006D7F33"/>
    <w:rsid w:val="006E1F07"/>
    <w:rsid w:val="006E2FBB"/>
    <w:rsid w:val="006E339D"/>
    <w:rsid w:val="006E3AE2"/>
    <w:rsid w:val="006E4611"/>
    <w:rsid w:val="006E4CD0"/>
    <w:rsid w:val="006E4EA9"/>
    <w:rsid w:val="006E6456"/>
    <w:rsid w:val="006E6AFA"/>
    <w:rsid w:val="006F0EDF"/>
    <w:rsid w:val="006F1390"/>
    <w:rsid w:val="006F1824"/>
    <w:rsid w:val="006F1CB6"/>
    <w:rsid w:val="006F228D"/>
    <w:rsid w:val="006F3C26"/>
    <w:rsid w:val="006F4A90"/>
    <w:rsid w:val="006F4B73"/>
    <w:rsid w:val="006F4C7F"/>
    <w:rsid w:val="006F62CA"/>
    <w:rsid w:val="006F6538"/>
    <w:rsid w:val="006F6BFC"/>
    <w:rsid w:val="006F72D1"/>
    <w:rsid w:val="00700C38"/>
    <w:rsid w:val="00702440"/>
    <w:rsid w:val="00703FD8"/>
    <w:rsid w:val="00705A07"/>
    <w:rsid w:val="00705EA8"/>
    <w:rsid w:val="007060D3"/>
    <w:rsid w:val="0070637D"/>
    <w:rsid w:val="00706C66"/>
    <w:rsid w:val="00710CD7"/>
    <w:rsid w:val="007126B5"/>
    <w:rsid w:val="00713637"/>
    <w:rsid w:val="00714F0E"/>
    <w:rsid w:val="00716538"/>
    <w:rsid w:val="00717514"/>
    <w:rsid w:val="007204EA"/>
    <w:rsid w:val="00721034"/>
    <w:rsid w:val="00722AA9"/>
    <w:rsid w:val="0072356F"/>
    <w:rsid w:val="00725781"/>
    <w:rsid w:val="00725789"/>
    <w:rsid w:val="007258ED"/>
    <w:rsid w:val="00727051"/>
    <w:rsid w:val="0072756B"/>
    <w:rsid w:val="00727887"/>
    <w:rsid w:val="00727F57"/>
    <w:rsid w:val="0073231C"/>
    <w:rsid w:val="007328F2"/>
    <w:rsid w:val="00732D27"/>
    <w:rsid w:val="00734321"/>
    <w:rsid w:val="00734B68"/>
    <w:rsid w:val="00735A6B"/>
    <w:rsid w:val="00735EE5"/>
    <w:rsid w:val="007370CE"/>
    <w:rsid w:val="00737511"/>
    <w:rsid w:val="00737BF5"/>
    <w:rsid w:val="0074162D"/>
    <w:rsid w:val="00741C9E"/>
    <w:rsid w:val="00743648"/>
    <w:rsid w:val="00744CDE"/>
    <w:rsid w:val="00745277"/>
    <w:rsid w:val="00745784"/>
    <w:rsid w:val="00745F92"/>
    <w:rsid w:val="007472DB"/>
    <w:rsid w:val="007501D9"/>
    <w:rsid w:val="00751D4C"/>
    <w:rsid w:val="0075265D"/>
    <w:rsid w:val="00752BBC"/>
    <w:rsid w:val="00752CAF"/>
    <w:rsid w:val="007535BB"/>
    <w:rsid w:val="00754C25"/>
    <w:rsid w:val="00755C0B"/>
    <w:rsid w:val="00756838"/>
    <w:rsid w:val="00757838"/>
    <w:rsid w:val="007602CA"/>
    <w:rsid w:val="0076071D"/>
    <w:rsid w:val="00760C9B"/>
    <w:rsid w:val="00762D37"/>
    <w:rsid w:val="007644CA"/>
    <w:rsid w:val="007651D5"/>
    <w:rsid w:val="0076727C"/>
    <w:rsid w:val="00767F0D"/>
    <w:rsid w:val="00770478"/>
    <w:rsid w:val="00771707"/>
    <w:rsid w:val="007717A1"/>
    <w:rsid w:val="00771E63"/>
    <w:rsid w:val="00772292"/>
    <w:rsid w:val="007728B6"/>
    <w:rsid w:val="00772AD2"/>
    <w:rsid w:val="00773396"/>
    <w:rsid w:val="00773BA3"/>
    <w:rsid w:val="00773C77"/>
    <w:rsid w:val="007744A3"/>
    <w:rsid w:val="007748C0"/>
    <w:rsid w:val="00774AD0"/>
    <w:rsid w:val="007753EC"/>
    <w:rsid w:val="007806B5"/>
    <w:rsid w:val="007827CC"/>
    <w:rsid w:val="00782BDA"/>
    <w:rsid w:val="0078391F"/>
    <w:rsid w:val="007839DE"/>
    <w:rsid w:val="00783C16"/>
    <w:rsid w:val="00784767"/>
    <w:rsid w:val="00784D6F"/>
    <w:rsid w:val="00785691"/>
    <w:rsid w:val="0079056A"/>
    <w:rsid w:val="00790B4A"/>
    <w:rsid w:val="00791544"/>
    <w:rsid w:val="007934A5"/>
    <w:rsid w:val="007939BB"/>
    <w:rsid w:val="0079406C"/>
    <w:rsid w:val="00795E03"/>
    <w:rsid w:val="00797F0C"/>
    <w:rsid w:val="007A1DAA"/>
    <w:rsid w:val="007A38D0"/>
    <w:rsid w:val="007A3CE5"/>
    <w:rsid w:val="007A44DF"/>
    <w:rsid w:val="007A4FC6"/>
    <w:rsid w:val="007A5896"/>
    <w:rsid w:val="007A696C"/>
    <w:rsid w:val="007A6AF7"/>
    <w:rsid w:val="007A6D6B"/>
    <w:rsid w:val="007A73D2"/>
    <w:rsid w:val="007B0B9F"/>
    <w:rsid w:val="007B130D"/>
    <w:rsid w:val="007B1460"/>
    <w:rsid w:val="007B39B2"/>
    <w:rsid w:val="007B3E44"/>
    <w:rsid w:val="007B3EDE"/>
    <w:rsid w:val="007B449E"/>
    <w:rsid w:val="007B518A"/>
    <w:rsid w:val="007B56EF"/>
    <w:rsid w:val="007B659B"/>
    <w:rsid w:val="007B6B6E"/>
    <w:rsid w:val="007B6F3F"/>
    <w:rsid w:val="007B76D8"/>
    <w:rsid w:val="007B7E0B"/>
    <w:rsid w:val="007C0462"/>
    <w:rsid w:val="007C1CAD"/>
    <w:rsid w:val="007C298F"/>
    <w:rsid w:val="007C2C7C"/>
    <w:rsid w:val="007C3647"/>
    <w:rsid w:val="007C3B36"/>
    <w:rsid w:val="007C3FF0"/>
    <w:rsid w:val="007C40CE"/>
    <w:rsid w:val="007C50A9"/>
    <w:rsid w:val="007C5984"/>
    <w:rsid w:val="007C5D61"/>
    <w:rsid w:val="007C619B"/>
    <w:rsid w:val="007C7B53"/>
    <w:rsid w:val="007D176A"/>
    <w:rsid w:val="007D2CB5"/>
    <w:rsid w:val="007D3A4C"/>
    <w:rsid w:val="007D3F4D"/>
    <w:rsid w:val="007D4038"/>
    <w:rsid w:val="007D499C"/>
    <w:rsid w:val="007D584D"/>
    <w:rsid w:val="007D5C74"/>
    <w:rsid w:val="007D61A7"/>
    <w:rsid w:val="007D7453"/>
    <w:rsid w:val="007E003F"/>
    <w:rsid w:val="007E375C"/>
    <w:rsid w:val="007E3934"/>
    <w:rsid w:val="007E6D5E"/>
    <w:rsid w:val="007E725D"/>
    <w:rsid w:val="007E7524"/>
    <w:rsid w:val="007F0543"/>
    <w:rsid w:val="007F149E"/>
    <w:rsid w:val="007F18F7"/>
    <w:rsid w:val="007F588B"/>
    <w:rsid w:val="007F606C"/>
    <w:rsid w:val="007F6AF3"/>
    <w:rsid w:val="007F7106"/>
    <w:rsid w:val="0080007B"/>
    <w:rsid w:val="00800781"/>
    <w:rsid w:val="00801833"/>
    <w:rsid w:val="00801C73"/>
    <w:rsid w:val="00804A18"/>
    <w:rsid w:val="00804B2D"/>
    <w:rsid w:val="008077C5"/>
    <w:rsid w:val="008103DF"/>
    <w:rsid w:val="00810E41"/>
    <w:rsid w:val="00811077"/>
    <w:rsid w:val="00811A37"/>
    <w:rsid w:val="00811D9B"/>
    <w:rsid w:val="00812E42"/>
    <w:rsid w:val="00816484"/>
    <w:rsid w:val="00822745"/>
    <w:rsid w:val="00822F7B"/>
    <w:rsid w:val="00823661"/>
    <w:rsid w:val="00824590"/>
    <w:rsid w:val="00824620"/>
    <w:rsid w:val="00824F50"/>
    <w:rsid w:val="008254AA"/>
    <w:rsid w:val="00825E66"/>
    <w:rsid w:val="008261C8"/>
    <w:rsid w:val="00826428"/>
    <w:rsid w:val="008277D1"/>
    <w:rsid w:val="00827934"/>
    <w:rsid w:val="00830096"/>
    <w:rsid w:val="0083050A"/>
    <w:rsid w:val="00830799"/>
    <w:rsid w:val="00830B38"/>
    <w:rsid w:val="00832AC2"/>
    <w:rsid w:val="008330C9"/>
    <w:rsid w:val="00833A7F"/>
    <w:rsid w:val="00834265"/>
    <w:rsid w:val="008345C3"/>
    <w:rsid w:val="008410A5"/>
    <w:rsid w:val="00843527"/>
    <w:rsid w:val="008441DD"/>
    <w:rsid w:val="00844365"/>
    <w:rsid w:val="008444D8"/>
    <w:rsid w:val="008444F0"/>
    <w:rsid w:val="00844A91"/>
    <w:rsid w:val="00844CB1"/>
    <w:rsid w:val="00845673"/>
    <w:rsid w:val="00847249"/>
    <w:rsid w:val="00847DBE"/>
    <w:rsid w:val="00847E2E"/>
    <w:rsid w:val="00847F28"/>
    <w:rsid w:val="008508C7"/>
    <w:rsid w:val="00850BCD"/>
    <w:rsid w:val="00855B5A"/>
    <w:rsid w:val="008561B8"/>
    <w:rsid w:val="00856534"/>
    <w:rsid w:val="00856A8B"/>
    <w:rsid w:val="00856BB6"/>
    <w:rsid w:val="00856E9D"/>
    <w:rsid w:val="008576FA"/>
    <w:rsid w:val="00861EE4"/>
    <w:rsid w:val="00862010"/>
    <w:rsid w:val="00862B60"/>
    <w:rsid w:val="00862D61"/>
    <w:rsid w:val="00863011"/>
    <w:rsid w:val="0086446D"/>
    <w:rsid w:val="00864B1C"/>
    <w:rsid w:val="00866095"/>
    <w:rsid w:val="0087078F"/>
    <w:rsid w:val="00871015"/>
    <w:rsid w:val="00872C49"/>
    <w:rsid w:val="00874CE2"/>
    <w:rsid w:val="00874D5E"/>
    <w:rsid w:val="0087719B"/>
    <w:rsid w:val="00877A5B"/>
    <w:rsid w:val="00877D49"/>
    <w:rsid w:val="00880ECB"/>
    <w:rsid w:val="0088203F"/>
    <w:rsid w:val="00882B95"/>
    <w:rsid w:val="00884071"/>
    <w:rsid w:val="00884DFE"/>
    <w:rsid w:val="00885680"/>
    <w:rsid w:val="0088676C"/>
    <w:rsid w:val="008871E5"/>
    <w:rsid w:val="00890AF8"/>
    <w:rsid w:val="00890F04"/>
    <w:rsid w:val="00891AFC"/>
    <w:rsid w:val="00891ECA"/>
    <w:rsid w:val="00892244"/>
    <w:rsid w:val="008922C7"/>
    <w:rsid w:val="0089245B"/>
    <w:rsid w:val="00892686"/>
    <w:rsid w:val="00893B2C"/>
    <w:rsid w:val="00893D32"/>
    <w:rsid w:val="00893DE9"/>
    <w:rsid w:val="00897536"/>
    <w:rsid w:val="00897EDF"/>
    <w:rsid w:val="008A3478"/>
    <w:rsid w:val="008A51E8"/>
    <w:rsid w:val="008A5A6D"/>
    <w:rsid w:val="008A6D91"/>
    <w:rsid w:val="008B035D"/>
    <w:rsid w:val="008B273F"/>
    <w:rsid w:val="008B2A1D"/>
    <w:rsid w:val="008B2E3E"/>
    <w:rsid w:val="008B325F"/>
    <w:rsid w:val="008B36A2"/>
    <w:rsid w:val="008B5841"/>
    <w:rsid w:val="008B63FD"/>
    <w:rsid w:val="008B64B6"/>
    <w:rsid w:val="008C0A2C"/>
    <w:rsid w:val="008C0D76"/>
    <w:rsid w:val="008C3155"/>
    <w:rsid w:val="008C46BE"/>
    <w:rsid w:val="008C5C7E"/>
    <w:rsid w:val="008C6ADB"/>
    <w:rsid w:val="008D2678"/>
    <w:rsid w:val="008D3090"/>
    <w:rsid w:val="008D38B5"/>
    <w:rsid w:val="008D5C08"/>
    <w:rsid w:val="008D7EBC"/>
    <w:rsid w:val="008E170D"/>
    <w:rsid w:val="008E2DBB"/>
    <w:rsid w:val="008E3C51"/>
    <w:rsid w:val="008E4C11"/>
    <w:rsid w:val="008E5EA7"/>
    <w:rsid w:val="008E65E4"/>
    <w:rsid w:val="008E70C4"/>
    <w:rsid w:val="008E7173"/>
    <w:rsid w:val="008E7D4C"/>
    <w:rsid w:val="008F0594"/>
    <w:rsid w:val="008F0D37"/>
    <w:rsid w:val="008F210C"/>
    <w:rsid w:val="008F2C14"/>
    <w:rsid w:val="008F4A09"/>
    <w:rsid w:val="008F4C17"/>
    <w:rsid w:val="008F743A"/>
    <w:rsid w:val="008F777D"/>
    <w:rsid w:val="008F7A10"/>
    <w:rsid w:val="00900181"/>
    <w:rsid w:val="00900953"/>
    <w:rsid w:val="009019FC"/>
    <w:rsid w:val="00901C45"/>
    <w:rsid w:val="00902EF3"/>
    <w:rsid w:val="009033F5"/>
    <w:rsid w:val="0090396A"/>
    <w:rsid w:val="00906236"/>
    <w:rsid w:val="009068A4"/>
    <w:rsid w:val="00906CDB"/>
    <w:rsid w:val="00907B42"/>
    <w:rsid w:val="009112A9"/>
    <w:rsid w:val="00912AFE"/>
    <w:rsid w:val="00912F29"/>
    <w:rsid w:val="00914259"/>
    <w:rsid w:val="00917FE9"/>
    <w:rsid w:val="00920BD1"/>
    <w:rsid w:val="009210D1"/>
    <w:rsid w:val="0092142B"/>
    <w:rsid w:val="0092214D"/>
    <w:rsid w:val="00922FD9"/>
    <w:rsid w:val="00923733"/>
    <w:rsid w:val="00924BB6"/>
    <w:rsid w:val="009257E4"/>
    <w:rsid w:val="00926542"/>
    <w:rsid w:val="009266D4"/>
    <w:rsid w:val="00926B2A"/>
    <w:rsid w:val="0093055C"/>
    <w:rsid w:val="00931DC0"/>
    <w:rsid w:val="0093296A"/>
    <w:rsid w:val="0093300E"/>
    <w:rsid w:val="009335FE"/>
    <w:rsid w:val="009340EC"/>
    <w:rsid w:val="00935F84"/>
    <w:rsid w:val="0093620D"/>
    <w:rsid w:val="00936B4D"/>
    <w:rsid w:val="00937AB4"/>
    <w:rsid w:val="00940A10"/>
    <w:rsid w:val="00940B46"/>
    <w:rsid w:val="009410DE"/>
    <w:rsid w:val="009428BC"/>
    <w:rsid w:val="00943F2E"/>
    <w:rsid w:val="00945948"/>
    <w:rsid w:val="00947087"/>
    <w:rsid w:val="009475A9"/>
    <w:rsid w:val="00947C55"/>
    <w:rsid w:val="00950C42"/>
    <w:rsid w:val="00951D6D"/>
    <w:rsid w:val="009521B1"/>
    <w:rsid w:val="009527EF"/>
    <w:rsid w:val="00953F54"/>
    <w:rsid w:val="00954990"/>
    <w:rsid w:val="00955648"/>
    <w:rsid w:val="00955813"/>
    <w:rsid w:val="00955D4F"/>
    <w:rsid w:val="0095746E"/>
    <w:rsid w:val="00957D06"/>
    <w:rsid w:val="009610AB"/>
    <w:rsid w:val="0096585E"/>
    <w:rsid w:val="00965908"/>
    <w:rsid w:val="00965C9B"/>
    <w:rsid w:val="009660D1"/>
    <w:rsid w:val="009709E9"/>
    <w:rsid w:val="00970D55"/>
    <w:rsid w:val="00971E55"/>
    <w:rsid w:val="00971E60"/>
    <w:rsid w:val="00973909"/>
    <w:rsid w:val="0097530F"/>
    <w:rsid w:val="009762B2"/>
    <w:rsid w:val="00977309"/>
    <w:rsid w:val="00977463"/>
    <w:rsid w:val="009812C9"/>
    <w:rsid w:val="00982EF2"/>
    <w:rsid w:val="0098334A"/>
    <w:rsid w:val="0098636B"/>
    <w:rsid w:val="00986601"/>
    <w:rsid w:val="0098696F"/>
    <w:rsid w:val="00986CB8"/>
    <w:rsid w:val="0099162D"/>
    <w:rsid w:val="009918B1"/>
    <w:rsid w:val="00992D23"/>
    <w:rsid w:val="00993A53"/>
    <w:rsid w:val="00993AB8"/>
    <w:rsid w:val="009940D4"/>
    <w:rsid w:val="009A06D4"/>
    <w:rsid w:val="009A0B84"/>
    <w:rsid w:val="009A163E"/>
    <w:rsid w:val="009A1A04"/>
    <w:rsid w:val="009A1DD9"/>
    <w:rsid w:val="009A2217"/>
    <w:rsid w:val="009A4703"/>
    <w:rsid w:val="009A4A51"/>
    <w:rsid w:val="009A536D"/>
    <w:rsid w:val="009A5A65"/>
    <w:rsid w:val="009A5F07"/>
    <w:rsid w:val="009A673C"/>
    <w:rsid w:val="009B0A7F"/>
    <w:rsid w:val="009B0A88"/>
    <w:rsid w:val="009B2EA5"/>
    <w:rsid w:val="009B5BDF"/>
    <w:rsid w:val="009B5C3E"/>
    <w:rsid w:val="009C129A"/>
    <w:rsid w:val="009C1CC2"/>
    <w:rsid w:val="009C307B"/>
    <w:rsid w:val="009C33F2"/>
    <w:rsid w:val="009C4CF3"/>
    <w:rsid w:val="009C512A"/>
    <w:rsid w:val="009C57F3"/>
    <w:rsid w:val="009C6037"/>
    <w:rsid w:val="009C6B03"/>
    <w:rsid w:val="009D0016"/>
    <w:rsid w:val="009D2BD4"/>
    <w:rsid w:val="009D2E05"/>
    <w:rsid w:val="009D344B"/>
    <w:rsid w:val="009D3B16"/>
    <w:rsid w:val="009D3C84"/>
    <w:rsid w:val="009D78CF"/>
    <w:rsid w:val="009D79E9"/>
    <w:rsid w:val="009E1F1A"/>
    <w:rsid w:val="009E3C59"/>
    <w:rsid w:val="009E5DB9"/>
    <w:rsid w:val="009E67C3"/>
    <w:rsid w:val="009E6813"/>
    <w:rsid w:val="009E6CA2"/>
    <w:rsid w:val="009E75F2"/>
    <w:rsid w:val="009E7CB2"/>
    <w:rsid w:val="009F02D1"/>
    <w:rsid w:val="009F05DF"/>
    <w:rsid w:val="009F0992"/>
    <w:rsid w:val="009F1112"/>
    <w:rsid w:val="009F2518"/>
    <w:rsid w:val="009F2F80"/>
    <w:rsid w:val="009F337E"/>
    <w:rsid w:val="009F379F"/>
    <w:rsid w:val="009F3FDD"/>
    <w:rsid w:val="009F4395"/>
    <w:rsid w:val="009F49BF"/>
    <w:rsid w:val="009F5352"/>
    <w:rsid w:val="009F7CA0"/>
    <w:rsid w:val="00A003DB"/>
    <w:rsid w:val="00A00CE4"/>
    <w:rsid w:val="00A01A75"/>
    <w:rsid w:val="00A01A93"/>
    <w:rsid w:val="00A02759"/>
    <w:rsid w:val="00A02E1B"/>
    <w:rsid w:val="00A0342D"/>
    <w:rsid w:val="00A04A66"/>
    <w:rsid w:val="00A051E7"/>
    <w:rsid w:val="00A10421"/>
    <w:rsid w:val="00A11DA7"/>
    <w:rsid w:val="00A121EC"/>
    <w:rsid w:val="00A140A3"/>
    <w:rsid w:val="00A14980"/>
    <w:rsid w:val="00A154B0"/>
    <w:rsid w:val="00A1571E"/>
    <w:rsid w:val="00A1591A"/>
    <w:rsid w:val="00A15F09"/>
    <w:rsid w:val="00A17BED"/>
    <w:rsid w:val="00A203F5"/>
    <w:rsid w:val="00A20417"/>
    <w:rsid w:val="00A210E0"/>
    <w:rsid w:val="00A210F5"/>
    <w:rsid w:val="00A214C6"/>
    <w:rsid w:val="00A22621"/>
    <w:rsid w:val="00A247CD"/>
    <w:rsid w:val="00A2502A"/>
    <w:rsid w:val="00A2686C"/>
    <w:rsid w:val="00A268F2"/>
    <w:rsid w:val="00A27641"/>
    <w:rsid w:val="00A27C2A"/>
    <w:rsid w:val="00A306BC"/>
    <w:rsid w:val="00A30F0B"/>
    <w:rsid w:val="00A31C3F"/>
    <w:rsid w:val="00A32763"/>
    <w:rsid w:val="00A3423D"/>
    <w:rsid w:val="00A347A5"/>
    <w:rsid w:val="00A35244"/>
    <w:rsid w:val="00A35A38"/>
    <w:rsid w:val="00A35F1D"/>
    <w:rsid w:val="00A35F6E"/>
    <w:rsid w:val="00A360EC"/>
    <w:rsid w:val="00A3670D"/>
    <w:rsid w:val="00A43120"/>
    <w:rsid w:val="00A4364F"/>
    <w:rsid w:val="00A43D18"/>
    <w:rsid w:val="00A43EED"/>
    <w:rsid w:val="00A443BF"/>
    <w:rsid w:val="00A444A4"/>
    <w:rsid w:val="00A4535F"/>
    <w:rsid w:val="00A45D12"/>
    <w:rsid w:val="00A46498"/>
    <w:rsid w:val="00A46738"/>
    <w:rsid w:val="00A514D8"/>
    <w:rsid w:val="00A517F3"/>
    <w:rsid w:val="00A51AAC"/>
    <w:rsid w:val="00A529E7"/>
    <w:rsid w:val="00A55287"/>
    <w:rsid w:val="00A559B3"/>
    <w:rsid w:val="00A57238"/>
    <w:rsid w:val="00A602B2"/>
    <w:rsid w:val="00A60AB5"/>
    <w:rsid w:val="00A60CA1"/>
    <w:rsid w:val="00A62929"/>
    <w:rsid w:val="00A62C92"/>
    <w:rsid w:val="00A63336"/>
    <w:rsid w:val="00A640B7"/>
    <w:rsid w:val="00A64399"/>
    <w:rsid w:val="00A648C1"/>
    <w:rsid w:val="00A65A9A"/>
    <w:rsid w:val="00A66C46"/>
    <w:rsid w:val="00A70770"/>
    <w:rsid w:val="00A709AF"/>
    <w:rsid w:val="00A718B4"/>
    <w:rsid w:val="00A71EF2"/>
    <w:rsid w:val="00A71F59"/>
    <w:rsid w:val="00A73F5D"/>
    <w:rsid w:val="00A756C2"/>
    <w:rsid w:val="00A75DC5"/>
    <w:rsid w:val="00A764D5"/>
    <w:rsid w:val="00A769CA"/>
    <w:rsid w:val="00A7726A"/>
    <w:rsid w:val="00A800E2"/>
    <w:rsid w:val="00A81111"/>
    <w:rsid w:val="00A81136"/>
    <w:rsid w:val="00A82CA1"/>
    <w:rsid w:val="00A82CAF"/>
    <w:rsid w:val="00A85E36"/>
    <w:rsid w:val="00A85E87"/>
    <w:rsid w:val="00A862B2"/>
    <w:rsid w:val="00A87367"/>
    <w:rsid w:val="00A87C0C"/>
    <w:rsid w:val="00A900A5"/>
    <w:rsid w:val="00A904A4"/>
    <w:rsid w:val="00A90F77"/>
    <w:rsid w:val="00A91135"/>
    <w:rsid w:val="00A91358"/>
    <w:rsid w:val="00A91A97"/>
    <w:rsid w:val="00A91F7D"/>
    <w:rsid w:val="00A92D0B"/>
    <w:rsid w:val="00A93752"/>
    <w:rsid w:val="00A941A9"/>
    <w:rsid w:val="00A944BA"/>
    <w:rsid w:val="00A948D5"/>
    <w:rsid w:val="00A954A3"/>
    <w:rsid w:val="00A95E29"/>
    <w:rsid w:val="00A966C7"/>
    <w:rsid w:val="00A96918"/>
    <w:rsid w:val="00A97BAB"/>
    <w:rsid w:val="00A97F16"/>
    <w:rsid w:val="00AA007E"/>
    <w:rsid w:val="00AA009F"/>
    <w:rsid w:val="00AA1995"/>
    <w:rsid w:val="00AA207A"/>
    <w:rsid w:val="00AA263C"/>
    <w:rsid w:val="00AA38F8"/>
    <w:rsid w:val="00AA4DB8"/>
    <w:rsid w:val="00AA59BA"/>
    <w:rsid w:val="00AA77E3"/>
    <w:rsid w:val="00AA7B0C"/>
    <w:rsid w:val="00AB06A5"/>
    <w:rsid w:val="00AB08F7"/>
    <w:rsid w:val="00AB196A"/>
    <w:rsid w:val="00AB4AA2"/>
    <w:rsid w:val="00AB4F8B"/>
    <w:rsid w:val="00AB4FB4"/>
    <w:rsid w:val="00AB5DD8"/>
    <w:rsid w:val="00AB6B1F"/>
    <w:rsid w:val="00AB7413"/>
    <w:rsid w:val="00AC037D"/>
    <w:rsid w:val="00AC1A3C"/>
    <w:rsid w:val="00AC26FA"/>
    <w:rsid w:val="00AC2CCA"/>
    <w:rsid w:val="00AC4B18"/>
    <w:rsid w:val="00AC4F71"/>
    <w:rsid w:val="00AC542C"/>
    <w:rsid w:val="00AD08F4"/>
    <w:rsid w:val="00AD2B9D"/>
    <w:rsid w:val="00AD4495"/>
    <w:rsid w:val="00AD4A8A"/>
    <w:rsid w:val="00AD532A"/>
    <w:rsid w:val="00AD5D2E"/>
    <w:rsid w:val="00AD7505"/>
    <w:rsid w:val="00AD7CC4"/>
    <w:rsid w:val="00AE07E4"/>
    <w:rsid w:val="00AE1090"/>
    <w:rsid w:val="00AE4047"/>
    <w:rsid w:val="00AE4461"/>
    <w:rsid w:val="00AE4A45"/>
    <w:rsid w:val="00AE627F"/>
    <w:rsid w:val="00AE7968"/>
    <w:rsid w:val="00AF0DEB"/>
    <w:rsid w:val="00AF0E97"/>
    <w:rsid w:val="00AF1943"/>
    <w:rsid w:val="00AF24FC"/>
    <w:rsid w:val="00AF2705"/>
    <w:rsid w:val="00AF2D33"/>
    <w:rsid w:val="00AF7035"/>
    <w:rsid w:val="00B00008"/>
    <w:rsid w:val="00B01182"/>
    <w:rsid w:val="00B03365"/>
    <w:rsid w:val="00B036C1"/>
    <w:rsid w:val="00B0423D"/>
    <w:rsid w:val="00B051B9"/>
    <w:rsid w:val="00B0527E"/>
    <w:rsid w:val="00B057EF"/>
    <w:rsid w:val="00B05ECC"/>
    <w:rsid w:val="00B061CF"/>
    <w:rsid w:val="00B0655C"/>
    <w:rsid w:val="00B107DF"/>
    <w:rsid w:val="00B12CFA"/>
    <w:rsid w:val="00B135A2"/>
    <w:rsid w:val="00B14F5E"/>
    <w:rsid w:val="00B20674"/>
    <w:rsid w:val="00B20794"/>
    <w:rsid w:val="00B20BAE"/>
    <w:rsid w:val="00B20C49"/>
    <w:rsid w:val="00B22E61"/>
    <w:rsid w:val="00B233D3"/>
    <w:rsid w:val="00B24F44"/>
    <w:rsid w:val="00B24FF0"/>
    <w:rsid w:val="00B25C7E"/>
    <w:rsid w:val="00B263C2"/>
    <w:rsid w:val="00B26769"/>
    <w:rsid w:val="00B31927"/>
    <w:rsid w:val="00B335BE"/>
    <w:rsid w:val="00B33886"/>
    <w:rsid w:val="00B344E4"/>
    <w:rsid w:val="00B36262"/>
    <w:rsid w:val="00B370E2"/>
    <w:rsid w:val="00B3786C"/>
    <w:rsid w:val="00B3796C"/>
    <w:rsid w:val="00B41148"/>
    <w:rsid w:val="00B417BC"/>
    <w:rsid w:val="00B41DEE"/>
    <w:rsid w:val="00B41E6A"/>
    <w:rsid w:val="00B43ACF"/>
    <w:rsid w:val="00B44A2D"/>
    <w:rsid w:val="00B45507"/>
    <w:rsid w:val="00B456B8"/>
    <w:rsid w:val="00B45AD5"/>
    <w:rsid w:val="00B508D0"/>
    <w:rsid w:val="00B53C9A"/>
    <w:rsid w:val="00B5402A"/>
    <w:rsid w:val="00B54A20"/>
    <w:rsid w:val="00B555C7"/>
    <w:rsid w:val="00B57329"/>
    <w:rsid w:val="00B575B7"/>
    <w:rsid w:val="00B608FC"/>
    <w:rsid w:val="00B63A92"/>
    <w:rsid w:val="00B64358"/>
    <w:rsid w:val="00B658B9"/>
    <w:rsid w:val="00B662BD"/>
    <w:rsid w:val="00B66B7F"/>
    <w:rsid w:val="00B66F41"/>
    <w:rsid w:val="00B67CF3"/>
    <w:rsid w:val="00B7088C"/>
    <w:rsid w:val="00B71327"/>
    <w:rsid w:val="00B7181F"/>
    <w:rsid w:val="00B720CD"/>
    <w:rsid w:val="00B72347"/>
    <w:rsid w:val="00B724B3"/>
    <w:rsid w:val="00B72D3D"/>
    <w:rsid w:val="00B74711"/>
    <w:rsid w:val="00B752E3"/>
    <w:rsid w:val="00B75BDE"/>
    <w:rsid w:val="00B803A0"/>
    <w:rsid w:val="00B80F90"/>
    <w:rsid w:val="00B82695"/>
    <w:rsid w:val="00B8289D"/>
    <w:rsid w:val="00B82FA7"/>
    <w:rsid w:val="00B848B4"/>
    <w:rsid w:val="00B858F6"/>
    <w:rsid w:val="00B87B08"/>
    <w:rsid w:val="00B90711"/>
    <w:rsid w:val="00B90B30"/>
    <w:rsid w:val="00B9120A"/>
    <w:rsid w:val="00B92036"/>
    <w:rsid w:val="00B92B28"/>
    <w:rsid w:val="00B963A3"/>
    <w:rsid w:val="00B9670E"/>
    <w:rsid w:val="00B97739"/>
    <w:rsid w:val="00B97952"/>
    <w:rsid w:val="00B97DEC"/>
    <w:rsid w:val="00BA0EE5"/>
    <w:rsid w:val="00BA1546"/>
    <w:rsid w:val="00BA15CD"/>
    <w:rsid w:val="00BA19F6"/>
    <w:rsid w:val="00BA35ED"/>
    <w:rsid w:val="00BA4793"/>
    <w:rsid w:val="00BA78AC"/>
    <w:rsid w:val="00BA7B8E"/>
    <w:rsid w:val="00BA7C5D"/>
    <w:rsid w:val="00BB2A84"/>
    <w:rsid w:val="00BB3C14"/>
    <w:rsid w:val="00BB4444"/>
    <w:rsid w:val="00BC1609"/>
    <w:rsid w:val="00BC3121"/>
    <w:rsid w:val="00BC4BC6"/>
    <w:rsid w:val="00BC54C3"/>
    <w:rsid w:val="00BC6B62"/>
    <w:rsid w:val="00BC6C2D"/>
    <w:rsid w:val="00BD10D9"/>
    <w:rsid w:val="00BD2698"/>
    <w:rsid w:val="00BD354E"/>
    <w:rsid w:val="00BD38A7"/>
    <w:rsid w:val="00BD50CA"/>
    <w:rsid w:val="00BD766F"/>
    <w:rsid w:val="00BD778D"/>
    <w:rsid w:val="00BD7A1A"/>
    <w:rsid w:val="00BE0D48"/>
    <w:rsid w:val="00BE116A"/>
    <w:rsid w:val="00BE1B5F"/>
    <w:rsid w:val="00BE2015"/>
    <w:rsid w:val="00BE2B3C"/>
    <w:rsid w:val="00BE354B"/>
    <w:rsid w:val="00BE4330"/>
    <w:rsid w:val="00BE458E"/>
    <w:rsid w:val="00BE49EB"/>
    <w:rsid w:val="00BE5B02"/>
    <w:rsid w:val="00BE5E22"/>
    <w:rsid w:val="00BE67FA"/>
    <w:rsid w:val="00BE6AC9"/>
    <w:rsid w:val="00BF0506"/>
    <w:rsid w:val="00BF2658"/>
    <w:rsid w:val="00BF28F9"/>
    <w:rsid w:val="00BF32F3"/>
    <w:rsid w:val="00BF3679"/>
    <w:rsid w:val="00BF43BC"/>
    <w:rsid w:val="00BF4AA8"/>
    <w:rsid w:val="00BF4DF6"/>
    <w:rsid w:val="00BF5D07"/>
    <w:rsid w:val="00BF6AB0"/>
    <w:rsid w:val="00C00A26"/>
    <w:rsid w:val="00C03EF3"/>
    <w:rsid w:val="00C04460"/>
    <w:rsid w:val="00C0592A"/>
    <w:rsid w:val="00C062EC"/>
    <w:rsid w:val="00C065C3"/>
    <w:rsid w:val="00C103DF"/>
    <w:rsid w:val="00C1057B"/>
    <w:rsid w:val="00C13DB5"/>
    <w:rsid w:val="00C14AF0"/>
    <w:rsid w:val="00C162DD"/>
    <w:rsid w:val="00C20A7F"/>
    <w:rsid w:val="00C212FE"/>
    <w:rsid w:val="00C2177B"/>
    <w:rsid w:val="00C22420"/>
    <w:rsid w:val="00C2291F"/>
    <w:rsid w:val="00C22EC2"/>
    <w:rsid w:val="00C234DE"/>
    <w:rsid w:val="00C23E64"/>
    <w:rsid w:val="00C26DE8"/>
    <w:rsid w:val="00C276A0"/>
    <w:rsid w:val="00C312D5"/>
    <w:rsid w:val="00C324C8"/>
    <w:rsid w:val="00C33A94"/>
    <w:rsid w:val="00C34146"/>
    <w:rsid w:val="00C348DA"/>
    <w:rsid w:val="00C34B6F"/>
    <w:rsid w:val="00C35326"/>
    <w:rsid w:val="00C35549"/>
    <w:rsid w:val="00C35FB1"/>
    <w:rsid w:val="00C374F2"/>
    <w:rsid w:val="00C378FF"/>
    <w:rsid w:val="00C42E64"/>
    <w:rsid w:val="00C44FD8"/>
    <w:rsid w:val="00C45B1E"/>
    <w:rsid w:val="00C45C42"/>
    <w:rsid w:val="00C461B8"/>
    <w:rsid w:val="00C466A7"/>
    <w:rsid w:val="00C47628"/>
    <w:rsid w:val="00C47960"/>
    <w:rsid w:val="00C534B2"/>
    <w:rsid w:val="00C53A18"/>
    <w:rsid w:val="00C54475"/>
    <w:rsid w:val="00C544A8"/>
    <w:rsid w:val="00C55C06"/>
    <w:rsid w:val="00C565E7"/>
    <w:rsid w:val="00C56BA1"/>
    <w:rsid w:val="00C56BB7"/>
    <w:rsid w:val="00C5744B"/>
    <w:rsid w:val="00C60672"/>
    <w:rsid w:val="00C6192E"/>
    <w:rsid w:val="00C62431"/>
    <w:rsid w:val="00C62B82"/>
    <w:rsid w:val="00C6308F"/>
    <w:rsid w:val="00C63A81"/>
    <w:rsid w:val="00C65564"/>
    <w:rsid w:val="00C66035"/>
    <w:rsid w:val="00C66369"/>
    <w:rsid w:val="00C67767"/>
    <w:rsid w:val="00C705F0"/>
    <w:rsid w:val="00C7083E"/>
    <w:rsid w:val="00C712CD"/>
    <w:rsid w:val="00C7154F"/>
    <w:rsid w:val="00C721F5"/>
    <w:rsid w:val="00C726E0"/>
    <w:rsid w:val="00C72F32"/>
    <w:rsid w:val="00C800DD"/>
    <w:rsid w:val="00C810CF"/>
    <w:rsid w:val="00C81872"/>
    <w:rsid w:val="00C822FE"/>
    <w:rsid w:val="00C827CC"/>
    <w:rsid w:val="00C8314D"/>
    <w:rsid w:val="00C831B4"/>
    <w:rsid w:val="00C83A47"/>
    <w:rsid w:val="00C8484B"/>
    <w:rsid w:val="00C84C28"/>
    <w:rsid w:val="00C8595C"/>
    <w:rsid w:val="00C8636D"/>
    <w:rsid w:val="00C86585"/>
    <w:rsid w:val="00C86670"/>
    <w:rsid w:val="00C86854"/>
    <w:rsid w:val="00C91916"/>
    <w:rsid w:val="00C91D81"/>
    <w:rsid w:val="00C920DB"/>
    <w:rsid w:val="00C946F3"/>
    <w:rsid w:val="00C94AE8"/>
    <w:rsid w:val="00C95AB7"/>
    <w:rsid w:val="00C964B8"/>
    <w:rsid w:val="00C96E36"/>
    <w:rsid w:val="00C97098"/>
    <w:rsid w:val="00C97A28"/>
    <w:rsid w:val="00C97E48"/>
    <w:rsid w:val="00CA246C"/>
    <w:rsid w:val="00CA35CE"/>
    <w:rsid w:val="00CA3F2F"/>
    <w:rsid w:val="00CA5BD1"/>
    <w:rsid w:val="00CA625A"/>
    <w:rsid w:val="00CA65E5"/>
    <w:rsid w:val="00CB019F"/>
    <w:rsid w:val="00CB0D39"/>
    <w:rsid w:val="00CB290E"/>
    <w:rsid w:val="00CB2F30"/>
    <w:rsid w:val="00CB3806"/>
    <w:rsid w:val="00CB4713"/>
    <w:rsid w:val="00CB4E4F"/>
    <w:rsid w:val="00CB57A3"/>
    <w:rsid w:val="00CB5DBE"/>
    <w:rsid w:val="00CB5E4C"/>
    <w:rsid w:val="00CC11BC"/>
    <w:rsid w:val="00CC312C"/>
    <w:rsid w:val="00CC3EF1"/>
    <w:rsid w:val="00CC6DEB"/>
    <w:rsid w:val="00CC7B6D"/>
    <w:rsid w:val="00CD07C7"/>
    <w:rsid w:val="00CD0A5B"/>
    <w:rsid w:val="00CD150F"/>
    <w:rsid w:val="00CD1D66"/>
    <w:rsid w:val="00CD2373"/>
    <w:rsid w:val="00CD2816"/>
    <w:rsid w:val="00CD31CF"/>
    <w:rsid w:val="00CD386C"/>
    <w:rsid w:val="00CD3F9A"/>
    <w:rsid w:val="00CD49B6"/>
    <w:rsid w:val="00CD4D09"/>
    <w:rsid w:val="00CD689B"/>
    <w:rsid w:val="00CD6C67"/>
    <w:rsid w:val="00CD722F"/>
    <w:rsid w:val="00CD7969"/>
    <w:rsid w:val="00CD7F8C"/>
    <w:rsid w:val="00CE060B"/>
    <w:rsid w:val="00CE1A74"/>
    <w:rsid w:val="00CE24A5"/>
    <w:rsid w:val="00CE2F04"/>
    <w:rsid w:val="00CE3109"/>
    <w:rsid w:val="00CE4135"/>
    <w:rsid w:val="00CE5A94"/>
    <w:rsid w:val="00CE5C07"/>
    <w:rsid w:val="00CE6E0F"/>
    <w:rsid w:val="00CF0051"/>
    <w:rsid w:val="00CF23B6"/>
    <w:rsid w:val="00CF2A89"/>
    <w:rsid w:val="00CF2C8B"/>
    <w:rsid w:val="00CF747B"/>
    <w:rsid w:val="00D010BA"/>
    <w:rsid w:val="00D02F2D"/>
    <w:rsid w:val="00D04CF6"/>
    <w:rsid w:val="00D06FED"/>
    <w:rsid w:val="00D10128"/>
    <w:rsid w:val="00D11406"/>
    <w:rsid w:val="00D11A09"/>
    <w:rsid w:val="00D12AE6"/>
    <w:rsid w:val="00D12BDC"/>
    <w:rsid w:val="00D13C58"/>
    <w:rsid w:val="00D15A52"/>
    <w:rsid w:val="00D165FC"/>
    <w:rsid w:val="00D16BB5"/>
    <w:rsid w:val="00D17630"/>
    <w:rsid w:val="00D20919"/>
    <w:rsid w:val="00D226AE"/>
    <w:rsid w:val="00D22CB1"/>
    <w:rsid w:val="00D23A69"/>
    <w:rsid w:val="00D24BF3"/>
    <w:rsid w:val="00D251C6"/>
    <w:rsid w:val="00D255FC"/>
    <w:rsid w:val="00D256DB"/>
    <w:rsid w:val="00D25F1B"/>
    <w:rsid w:val="00D265B3"/>
    <w:rsid w:val="00D267FA"/>
    <w:rsid w:val="00D26FCF"/>
    <w:rsid w:val="00D271F4"/>
    <w:rsid w:val="00D2759C"/>
    <w:rsid w:val="00D3015F"/>
    <w:rsid w:val="00D33870"/>
    <w:rsid w:val="00D33871"/>
    <w:rsid w:val="00D33D82"/>
    <w:rsid w:val="00D340E5"/>
    <w:rsid w:val="00D344AA"/>
    <w:rsid w:val="00D35126"/>
    <w:rsid w:val="00D36892"/>
    <w:rsid w:val="00D36C68"/>
    <w:rsid w:val="00D37E6A"/>
    <w:rsid w:val="00D409AA"/>
    <w:rsid w:val="00D40A70"/>
    <w:rsid w:val="00D411AB"/>
    <w:rsid w:val="00D41237"/>
    <w:rsid w:val="00D42B4B"/>
    <w:rsid w:val="00D436C3"/>
    <w:rsid w:val="00D43D6A"/>
    <w:rsid w:val="00D44710"/>
    <w:rsid w:val="00D44CFE"/>
    <w:rsid w:val="00D455A3"/>
    <w:rsid w:val="00D46687"/>
    <w:rsid w:val="00D469CC"/>
    <w:rsid w:val="00D473AA"/>
    <w:rsid w:val="00D50525"/>
    <w:rsid w:val="00D511EC"/>
    <w:rsid w:val="00D512A7"/>
    <w:rsid w:val="00D5205B"/>
    <w:rsid w:val="00D52D74"/>
    <w:rsid w:val="00D53239"/>
    <w:rsid w:val="00D5348E"/>
    <w:rsid w:val="00D53A45"/>
    <w:rsid w:val="00D53FCC"/>
    <w:rsid w:val="00D54722"/>
    <w:rsid w:val="00D54905"/>
    <w:rsid w:val="00D5666F"/>
    <w:rsid w:val="00D56787"/>
    <w:rsid w:val="00D56869"/>
    <w:rsid w:val="00D62588"/>
    <w:rsid w:val="00D629CB"/>
    <w:rsid w:val="00D62B7A"/>
    <w:rsid w:val="00D63380"/>
    <w:rsid w:val="00D6369D"/>
    <w:rsid w:val="00D639C3"/>
    <w:rsid w:val="00D63CA4"/>
    <w:rsid w:val="00D64188"/>
    <w:rsid w:val="00D66218"/>
    <w:rsid w:val="00D663BC"/>
    <w:rsid w:val="00D6659A"/>
    <w:rsid w:val="00D73391"/>
    <w:rsid w:val="00D7399C"/>
    <w:rsid w:val="00D74D09"/>
    <w:rsid w:val="00D7516C"/>
    <w:rsid w:val="00D75B0C"/>
    <w:rsid w:val="00D77787"/>
    <w:rsid w:val="00D77C9C"/>
    <w:rsid w:val="00D812D1"/>
    <w:rsid w:val="00D81D3A"/>
    <w:rsid w:val="00D82417"/>
    <w:rsid w:val="00D82D50"/>
    <w:rsid w:val="00D84B3E"/>
    <w:rsid w:val="00D84FE5"/>
    <w:rsid w:val="00D85707"/>
    <w:rsid w:val="00D85E19"/>
    <w:rsid w:val="00D862A7"/>
    <w:rsid w:val="00D872D0"/>
    <w:rsid w:val="00D87E64"/>
    <w:rsid w:val="00D90108"/>
    <w:rsid w:val="00D9131B"/>
    <w:rsid w:val="00D91AAD"/>
    <w:rsid w:val="00D9248F"/>
    <w:rsid w:val="00D92CF6"/>
    <w:rsid w:val="00D9306C"/>
    <w:rsid w:val="00D9309E"/>
    <w:rsid w:val="00D9450C"/>
    <w:rsid w:val="00D9580C"/>
    <w:rsid w:val="00D95ABB"/>
    <w:rsid w:val="00D95BD3"/>
    <w:rsid w:val="00D970B7"/>
    <w:rsid w:val="00D97C54"/>
    <w:rsid w:val="00D97DC3"/>
    <w:rsid w:val="00DA06D6"/>
    <w:rsid w:val="00DA07F7"/>
    <w:rsid w:val="00DA134D"/>
    <w:rsid w:val="00DA14B1"/>
    <w:rsid w:val="00DA1F34"/>
    <w:rsid w:val="00DA4585"/>
    <w:rsid w:val="00DA4644"/>
    <w:rsid w:val="00DA4842"/>
    <w:rsid w:val="00DA4C07"/>
    <w:rsid w:val="00DA609E"/>
    <w:rsid w:val="00DA65A6"/>
    <w:rsid w:val="00DA70CB"/>
    <w:rsid w:val="00DA7EF8"/>
    <w:rsid w:val="00DB1316"/>
    <w:rsid w:val="00DB41D5"/>
    <w:rsid w:val="00DB4DF4"/>
    <w:rsid w:val="00DB4ECC"/>
    <w:rsid w:val="00DB557B"/>
    <w:rsid w:val="00DB5B0A"/>
    <w:rsid w:val="00DB63EA"/>
    <w:rsid w:val="00DB65C5"/>
    <w:rsid w:val="00DC0124"/>
    <w:rsid w:val="00DC0CBF"/>
    <w:rsid w:val="00DC0EE4"/>
    <w:rsid w:val="00DC11DC"/>
    <w:rsid w:val="00DC26CC"/>
    <w:rsid w:val="00DC303B"/>
    <w:rsid w:val="00DC43E4"/>
    <w:rsid w:val="00DC48FD"/>
    <w:rsid w:val="00DC5425"/>
    <w:rsid w:val="00DC6CC1"/>
    <w:rsid w:val="00DD06BE"/>
    <w:rsid w:val="00DD0B4E"/>
    <w:rsid w:val="00DD186D"/>
    <w:rsid w:val="00DD38AC"/>
    <w:rsid w:val="00DD6C97"/>
    <w:rsid w:val="00DE10D2"/>
    <w:rsid w:val="00DE1D58"/>
    <w:rsid w:val="00DE2B01"/>
    <w:rsid w:val="00DE396E"/>
    <w:rsid w:val="00DE4079"/>
    <w:rsid w:val="00DE4151"/>
    <w:rsid w:val="00DE451D"/>
    <w:rsid w:val="00DE498E"/>
    <w:rsid w:val="00DE5139"/>
    <w:rsid w:val="00DE681E"/>
    <w:rsid w:val="00DE7C05"/>
    <w:rsid w:val="00DF018E"/>
    <w:rsid w:val="00DF28A6"/>
    <w:rsid w:val="00DF318C"/>
    <w:rsid w:val="00DF3292"/>
    <w:rsid w:val="00DF4B26"/>
    <w:rsid w:val="00DF4ECB"/>
    <w:rsid w:val="00DF6742"/>
    <w:rsid w:val="00DF6C6B"/>
    <w:rsid w:val="00DF6DA8"/>
    <w:rsid w:val="00DF7AA8"/>
    <w:rsid w:val="00E0084D"/>
    <w:rsid w:val="00E014D0"/>
    <w:rsid w:val="00E02727"/>
    <w:rsid w:val="00E031E2"/>
    <w:rsid w:val="00E04E64"/>
    <w:rsid w:val="00E04F97"/>
    <w:rsid w:val="00E06181"/>
    <w:rsid w:val="00E10CD1"/>
    <w:rsid w:val="00E12435"/>
    <w:rsid w:val="00E12D25"/>
    <w:rsid w:val="00E12D49"/>
    <w:rsid w:val="00E13FF4"/>
    <w:rsid w:val="00E156BE"/>
    <w:rsid w:val="00E15F5D"/>
    <w:rsid w:val="00E16119"/>
    <w:rsid w:val="00E16B8F"/>
    <w:rsid w:val="00E16FE5"/>
    <w:rsid w:val="00E23706"/>
    <w:rsid w:val="00E23734"/>
    <w:rsid w:val="00E23A1F"/>
    <w:rsid w:val="00E25354"/>
    <w:rsid w:val="00E25427"/>
    <w:rsid w:val="00E25569"/>
    <w:rsid w:val="00E258F8"/>
    <w:rsid w:val="00E25962"/>
    <w:rsid w:val="00E25E6D"/>
    <w:rsid w:val="00E2652C"/>
    <w:rsid w:val="00E269C0"/>
    <w:rsid w:val="00E269C2"/>
    <w:rsid w:val="00E277D4"/>
    <w:rsid w:val="00E308D8"/>
    <w:rsid w:val="00E314BE"/>
    <w:rsid w:val="00E3197F"/>
    <w:rsid w:val="00E326FD"/>
    <w:rsid w:val="00E32C70"/>
    <w:rsid w:val="00E33BC0"/>
    <w:rsid w:val="00E34690"/>
    <w:rsid w:val="00E35859"/>
    <w:rsid w:val="00E362C0"/>
    <w:rsid w:val="00E363A0"/>
    <w:rsid w:val="00E406B9"/>
    <w:rsid w:val="00E42481"/>
    <w:rsid w:val="00E427E4"/>
    <w:rsid w:val="00E42B3A"/>
    <w:rsid w:val="00E43346"/>
    <w:rsid w:val="00E440A8"/>
    <w:rsid w:val="00E46D8C"/>
    <w:rsid w:val="00E470FA"/>
    <w:rsid w:val="00E4799E"/>
    <w:rsid w:val="00E47E69"/>
    <w:rsid w:val="00E506FD"/>
    <w:rsid w:val="00E5083C"/>
    <w:rsid w:val="00E5248A"/>
    <w:rsid w:val="00E5470A"/>
    <w:rsid w:val="00E55886"/>
    <w:rsid w:val="00E574AF"/>
    <w:rsid w:val="00E57581"/>
    <w:rsid w:val="00E57BC9"/>
    <w:rsid w:val="00E6152F"/>
    <w:rsid w:val="00E619BE"/>
    <w:rsid w:val="00E62611"/>
    <w:rsid w:val="00E62804"/>
    <w:rsid w:val="00E63453"/>
    <w:rsid w:val="00E651B0"/>
    <w:rsid w:val="00E66B67"/>
    <w:rsid w:val="00E66FB0"/>
    <w:rsid w:val="00E67651"/>
    <w:rsid w:val="00E67848"/>
    <w:rsid w:val="00E67B9A"/>
    <w:rsid w:val="00E67C73"/>
    <w:rsid w:val="00E71BD5"/>
    <w:rsid w:val="00E72749"/>
    <w:rsid w:val="00E72D37"/>
    <w:rsid w:val="00E743EE"/>
    <w:rsid w:val="00E748A9"/>
    <w:rsid w:val="00E74CBE"/>
    <w:rsid w:val="00E752E0"/>
    <w:rsid w:val="00E754EB"/>
    <w:rsid w:val="00E75B19"/>
    <w:rsid w:val="00E7621A"/>
    <w:rsid w:val="00E763C4"/>
    <w:rsid w:val="00E779B1"/>
    <w:rsid w:val="00E77B43"/>
    <w:rsid w:val="00E80864"/>
    <w:rsid w:val="00E8187C"/>
    <w:rsid w:val="00E82193"/>
    <w:rsid w:val="00E82720"/>
    <w:rsid w:val="00E82FFB"/>
    <w:rsid w:val="00E838A4"/>
    <w:rsid w:val="00E838C9"/>
    <w:rsid w:val="00E847B3"/>
    <w:rsid w:val="00E86164"/>
    <w:rsid w:val="00E87E15"/>
    <w:rsid w:val="00E9134E"/>
    <w:rsid w:val="00E92400"/>
    <w:rsid w:val="00E925B0"/>
    <w:rsid w:val="00E92994"/>
    <w:rsid w:val="00E93389"/>
    <w:rsid w:val="00E94C91"/>
    <w:rsid w:val="00E95BF7"/>
    <w:rsid w:val="00E9688E"/>
    <w:rsid w:val="00E973C9"/>
    <w:rsid w:val="00E9769A"/>
    <w:rsid w:val="00E97A2A"/>
    <w:rsid w:val="00EA0635"/>
    <w:rsid w:val="00EA06B3"/>
    <w:rsid w:val="00EA17F2"/>
    <w:rsid w:val="00EA1A60"/>
    <w:rsid w:val="00EA2207"/>
    <w:rsid w:val="00EA2A76"/>
    <w:rsid w:val="00EA2BB6"/>
    <w:rsid w:val="00EA2C4C"/>
    <w:rsid w:val="00EA3909"/>
    <w:rsid w:val="00EA6537"/>
    <w:rsid w:val="00EA7AF5"/>
    <w:rsid w:val="00EB234B"/>
    <w:rsid w:val="00EB23E3"/>
    <w:rsid w:val="00EB2C65"/>
    <w:rsid w:val="00EB3405"/>
    <w:rsid w:val="00EB437A"/>
    <w:rsid w:val="00EB49E0"/>
    <w:rsid w:val="00EB52ED"/>
    <w:rsid w:val="00EB5AC8"/>
    <w:rsid w:val="00EB790F"/>
    <w:rsid w:val="00EC00F3"/>
    <w:rsid w:val="00EC03CD"/>
    <w:rsid w:val="00EC04D9"/>
    <w:rsid w:val="00EC09B7"/>
    <w:rsid w:val="00EC144B"/>
    <w:rsid w:val="00EC392C"/>
    <w:rsid w:val="00EC3A92"/>
    <w:rsid w:val="00EC471C"/>
    <w:rsid w:val="00EC561D"/>
    <w:rsid w:val="00EC5B26"/>
    <w:rsid w:val="00EC6A1C"/>
    <w:rsid w:val="00EC6CD6"/>
    <w:rsid w:val="00EC726B"/>
    <w:rsid w:val="00ED064D"/>
    <w:rsid w:val="00ED2E2B"/>
    <w:rsid w:val="00ED3BD7"/>
    <w:rsid w:val="00ED5444"/>
    <w:rsid w:val="00ED7BB0"/>
    <w:rsid w:val="00EE1202"/>
    <w:rsid w:val="00EE1377"/>
    <w:rsid w:val="00EE3784"/>
    <w:rsid w:val="00EE45C7"/>
    <w:rsid w:val="00EE4E8E"/>
    <w:rsid w:val="00EE77CC"/>
    <w:rsid w:val="00EF0A7C"/>
    <w:rsid w:val="00EF394F"/>
    <w:rsid w:val="00EF6AD1"/>
    <w:rsid w:val="00F00884"/>
    <w:rsid w:val="00F00AE6"/>
    <w:rsid w:val="00F02558"/>
    <w:rsid w:val="00F03A6B"/>
    <w:rsid w:val="00F041D3"/>
    <w:rsid w:val="00F049CF"/>
    <w:rsid w:val="00F05D85"/>
    <w:rsid w:val="00F05F00"/>
    <w:rsid w:val="00F11811"/>
    <w:rsid w:val="00F158C1"/>
    <w:rsid w:val="00F16390"/>
    <w:rsid w:val="00F16716"/>
    <w:rsid w:val="00F17190"/>
    <w:rsid w:val="00F2017E"/>
    <w:rsid w:val="00F2185C"/>
    <w:rsid w:val="00F22403"/>
    <w:rsid w:val="00F22BC9"/>
    <w:rsid w:val="00F22EC0"/>
    <w:rsid w:val="00F2564A"/>
    <w:rsid w:val="00F309B1"/>
    <w:rsid w:val="00F33947"/>
    <w:rsid w:val="00F33CDC"/>
    <w:rsid w:val="00F34332"/>
    <w:rsid w:val="00F34765"/>
    <w:rsid w:val="00F358B3"/>
    <w:rsid w:val="00F36235"/>
    <w:rsid w:val="00F371FA"/>
    <w:rsid w:val="00F37218"/>
    <w:rsid w:val="00F37838"/>
    <w:rsid w:val="00F425B2"/>
    <w:rsid w:val="00F44003"/>
    <w:rsid w:val="00F45079"/>
    <w:rsid w:val="00F45716"/>
    <w:rsid w:val="00F45A6F"/>
    <w:rsid w:val="00F45C52"/>
    <w:rsid w:val="00F46A55"/>
    <w:rsid w:val="00F50565"/>
    <w:rsid w:val="00F5198C"/>
    <w:rsid w:val="00F520B4"/>
    <w:rsid w:val="00F52110"/>
    <w:rsid w:val="00F52FE5"/>
    <w:rsid w:val="00F53428"/>
    <w:rsid w:val="00F53A42"/>
    <w:rsid w:val="00F555C4"/>
    <w:rsid w:val="00F575D6"/>
    <w:rsid w:val="00F609EF"/>
    <w:rsid w:val="00F612B8"/>
    <w:rsid w:val="00F61C29"/>
    <w:rsid w:val="00F61E84"/>
    <w:rsid w:val="00F649B3"/>
    <w:rsid w:val="00F673EC"/>
    <w:rsid w:val="00F67D37"/>
    <w:rsid w:val="00F70338"/>
    <w:rsid w:val="00F705FB"/>
    <w:rsid w:val="00F72259"/>
    <w:rsid w:val="00F72987"/>
    <w:rsid w:val="00F741E1"/>
    <w:rsid w:val="00F74731"/>
    <w:rsid w:val="00F77147"/>
    <w:rsid w:val="00F81608"/>
    <w:rsid w:val="00F81B43"/>
    <w:rsid w:val="00F83F6D"/>
    <w:rsid w:val="00F84CB6"/>
    <w:rsid w:val="00F86141"/>
    <w:rsid w:val="00F86693"/>
    <w:rsid w:val="00F905FB"/>
    <w:rsid w:val="00F910EC"/>
    <w:rsid w:val="00F9240D"/>
    <w:rsid w:val="00F93904"/>
    <w:rsid w:val="00F94056"/>
    <w:rsid w:val="00F94279"/>
    <w:rsid w:val="00F9523F"/>
    <w:rsid w:val="00F95525"/>
    <w:rsid w:val="00F95FA5"/>
    <w:rsid w:val="00F96860"/>
    <w:rsid w:val="00FA09A4"/>
    <w:rsid w:val="00FA0F7C"/>
    <w:rsid w:val="00FA11CF"/>
    <w:rsid w:val="00FA15C8"/>
    <w:rsid w:val="00FA1B52"/>
    <w:rsid w:val="00FA238B"/>
    <w:rsid w:val="00FA241A"/>
    <w:rsid w:val="00FA419A"/>
    <w:rsid w:val="00FA44BB"/>
    <w:rsid w:val="00FA487E"/>
    <w:rsid w:val="00FA4CE8"/>
    <w:rsid w:val="00FA5186"/>
    <w:rsid w:val="00FA5858"/>
    <w:rsid w:val="00FA585C"/>
    <w:rsid w:val="00FA60B8"/>
    <w:rsid w:val="00FA66CB"/>
    <w:rsid w:val="00FA7507"/>
    <w:rsid w:val="00FB1BE9"/>
    <w:rsid w:val="00FB553E"/>
    <w:rsid w:val="00FB55C4"/>
    <w:rsid w:val="00FB5E06"/>
    <w:rsid w:val="00FB7A8B"/>
    <w:rsid w:val="00FC2390"/>
    <w:rsid w:val="00FC2796"/>
    <w:rsid w:val="00FC4983"/>
    <w:rsid w:val="00FD0884"/>
    <w:rsid w:val="00FD2053"/>
    <w:rsid w:val="00FD32DC"/>
    <w:rsid w:val="00FD33D0"/>
    <w:rsid w:val="00FD392D"/>
    <w:rsid w:val="00FD451A"/>
    <w:rsid w:val="00FD7076"/>
    <w:rsid w:val="00FD714C"/>
    <w:rsid w:val="00FE21BB"/>
    <w:rsid w:val="00FE3B37"/>
    <w:rsid w:val="00FE4D20"/>
    <w:rsid w:val="00FE5F16"/>
    <w:rsid w:val="00FE6B4A"/>
    <w:rsid w:val="00FF0764"/>
    <w:rsid w:val="00FF375E"/>
    <w:rsid w:val="00FF3C49"/>
    <w:rsid w:val="00FF47E5"/>
    <w:rsid w:val="00FF499A"/>
    <w:rsid w:val="012594BD"/>
    <w:rsid w:val="01744F5C"/>
    <w:rsid w:val="019837DC"/>
    <w:rsid w:val="02D52821"/>
    <w:rsid w:val="050C1C36"/>
    <w:rsid w:val="057CD545"/>
    <w:rsid w:val="061EC6B0"/>
    <w:rsid w:val="066D8995"/>
    <w:rsid w:val="0699180A"/>
    <w:rsid w:val="06E40FEB"/>
    <w:rsid w:val="0800543D"/>
    <w:rsid w:val="08182719"/>
    <w:rsid w:val="0837FB97"/>
    <w:rsid w:val="0865F028"/>
    <w:rsid w:val="090837A9"/>
    <w:rsid w:val="09B944BA"/>
    <w:rsid w:val="0A2EF838"/>
    <w:rsid w:val="0B50DF9E"/>
    <w:rsid w:val="0C687959"/>
    <w:rsid w:val="0CA23033"/>
    <w:rsid w:val="0CBED387"/>
    <w:rsid w:val="0CD828E3"/>
    <w:rsid w:val="0D25B23A"/>
    <w:rsid w:val="0DB8186A"/>
    <w:rsid w:val="0E9F035F"/>
    <w:rsid w:val="0F9C7992"/>
    <w:rsid w:val="0FC9F322"/>
    <w:rsid w:val="100764D6"/>
    <w:rsid w:val="106303DB"/>
    <w:rsid w:val="10AA1530"/>
    <w:rsid w:val="10B6F49F"/>
    <w:rsid w:val="11661171"/>
    <w:rsid w:val="116CBCBD"/>
    <w:rsid w:val="11BFD69C"/>
    <w:rsid w:val="12BFBC0E"/>
    <w:rsid w:val="12CCF922"/>
    <w:rsid w:val="1403CB6C"/>
    <w:rsid w:val="140DBA97"/>
    <w:rsid w:val="14309A3E"/>
    <w:rsid w:val="1468C1BD"/>
    <w:rsid w:val="1643FBC6"/>
    <w:rsid w:val="172A022D"/>
    <w:rsid w:val="17AF9300"/>
    <w:rsid w:val="183661B5"/>
    <w:rsid w:val="1879839F"/>
    <w:rsid w:val="18AECFAE"/>
    <w:rsid w:val="18F9780D"/>
    <w:rsid w:val="1930E2F6"/>
    <w:rsid w:val="199A6BAB"/>
    <w:rsid w:val="19BA5511"/>
    <w:rsid w:val="19E1CC55"/>
    <w:rsid w:val="1A17F537"/>
    <w:rsid w:val="1A96821F"/>
    <w:rsid w:val="1AB7A350"/>
    <w:rsid w:val="1B50CD64"/>
    <w:rsid w:val="1B69FBE2"/>
    <w:rsid w:val="1CB86805"/>
    <w:rsid w:val="1D106E74"/>
    <w:rsid w:val="1D9A5EAF"/>
    <w:rsid w:val="1EFBC410"/>
    <w:rsid w:val="1FAE5830"/>
    <w:rsid w:val="2021692E"/>
    <w:rsid w:val="20730B2B"/>
    <w:rsid w:val="2148F6B3"/>
    <w:rsid w:val="21744E2F"/>
    <w:rsid w:val="22674A49"/>
    <w:rsid w:val="22F4EBA2"/>
    <w:rsid w:val="23784459"/>
    <w:rsid w:val="23A5C8B0"/>
    <w:rsid w:val="23C2C07F"/>
    <w:rsid w:val="243EA90D"/>
    <w:rsid w:val="248E1FFB"/>
    <w:rsid w:val="24A6C567"/>
    <w:rsid w:val="24B58088"/>
    <w:rsid w:val="253A17D0"/>
    <w:rsid w:val="25C831FB"/>
    <w:rsid w:val="25C919C6"/>
    <w:rsid w:val="260C6B3D"/>
    <w:rsid w:val="265FDD30"/>
    <w:rsid w:val="26B3FC69"/>
    <w:rsid w:val="277A8CE9"/>
    <w:rsid w:val="279D805B"/>
    <w:rsid w:val="27D787D7"/>
    <w:rsid w:val="27FD2516"/>
    <w:rsid w:val="2870B9C0"/>
    <w:rsid w:val="28A48FD7"/>
    <w:rsid w:val="2904FB1C"/>
    <w:rsid w:val="291782BB"/>
    <w:rsid w:val="2A99AF33"/>
    <w:rsid w:val="2AB2868F"/>
    <w:rsid w:val="2AE1B50B"/>
    <w:rsid w:val="2AF06821"/>
    <w:rsid w:val="2B4092FC"/>
    <w:rsid w:val="2B8CA87D"/>
    <w:rsid w:val="2BB63F52"/>
    <w:rsid w:val="2C3095EA"/>
    <w:rsid w:val="2DDC451A"/>
    <w:rsid w:val="2E7FE454"/>
    <w:rsid w:val="2EA118AE"/>
    <w:rsid w:val="2F5AF704"/>
    <w:rsid w:val="2F820417"/>
    <w:rsid w:val="2FBE940C"/>
    <w:rsid w:val="2FEAD5CD"/>
    <w:rsid w:val="303F1600"/>
    <w:rsid w:val="3075EC90"/>
    <w:rsid w:val="30A06F52"/>
    <w:rsid w:val="310A772A"/>
    <w:rsid w:val="31BC6D5E"/>
    <w:rsid w:val="31CC1A52"/>
    <w:rsid w:val="31DE5C56"/>
    <w:rsid w:val="3386692A"/>
    <w:rsid w:val="33938B02"/>
    <w:rsid w:val="347FE1D1"/>
    <w:rsid w:val="34B54C32"/>
    <w:rsid w:val="35727FB3"/>
    <w:rsid w:val="357FA40A"/>
    <w:rsid w:val="35D6B71F"/>
    <w:rsid w:val="36824D94"/>
    <w:rsid w:val="37EC6758"/>
    <w:rsid w:val="383A3DFE"/>
    <w:rsid w:val="386BD73A"/>
    <w:rsid w:val="3A323D23"/>
    <w:rsid w:val="3A6D1719"/>
    <w:rsid w:val="3B2BB8F9"/>
    <w:rsid w:val="3B2BCD0A"/>
    <w:rsid w:val="3B907F6A"/>
    <w:rsid w:val="3BB9212A"/>
    <w:rsid w:val="3CFEDAD9"/>
    <w:rsid w:val="3D286840"/>
    <w:rsid w:val="3DD6BA67"/>
    <w:rsid w:val="3E064043"/>
    <w:rsid w:val="3E191DE2"/>
    <w:rsid w:val="3E71C39C"/>
    <w:rsid w:val="3ED185D3"/>
    <w:rsid w:val="3FA9AF8C"/>
    <w:rsid w:val="413C03A4"/>
    <w:rsid w:val="41909431"/>
    <w:rsid w:val="41AFE4A5"/>
    <w:rsid w:val="41BDA8AB"/>
    <w:rsid w:val="42D9628F"/>
    <w:rsid w:val="434AE0B3"/>
    <w:rsid w:val="436BC0A3"/>
    <w:rsid w:val="43D41245"/>
    <w:rsid w:val="43F55420"/>
    <w:rsid w:val="44C2CA6C"/>
    <w:rsid w:val="464FCDCB"/>
    <w:rsid w:val="46613DB5"/>
    <w:rsid w:val="46956C57"/>
    <w:rsid w:val="46ECC7D7"/>
    <w:rsid w:val="472792C8"/>
    <w:rsid w:val="483284DF"/>
    <w:rsid w:val="483CEBE0"/>
    <w:rsid w:val="4901647F"/>
    <w:rsid w:val="49E94DA5"/>
    <w:rsid w:val="49EBEA38"/>
    <w:rsid w:val="4A22EFB6"/>
    <w:rsid w:val="4AE7B02E"/>
    <w:rsid w:val="4B9EBBA5"/>
    <w:rsid w:val="4BEF7277"/>
    <w:rsid w:val="4BF0D6ED"/>
    <w:rsid w:val="4C94D559"/>
    <w:rsid w:val="4CB92770"/>
    <w:rsid w:val="4D6CA97A"/>
    <w:rsid w:val="4D85CB4B"/>
    <w:rsid w:val="4E359E77"/>
    <w:rsid w:val="4E711ECF"/>
    <w:rsid w:val="4E9FF04D"/>
    <w:rsid w:val="4FB64F42"/>
    <w:rsid w:val="4FDCB609"/>
    <w:rsid w:val="503805A0"/>
    <w:rsid w:val="50756297"/>
    <w:rsid w:val="50DEE587"/>
    <w:rsid w:val="50E753A1"/>
    <w:rsid w:val="517A3C96"/>
    <w:rsid w:val="52ECD5B9"/>
    <w:rsid w:val="5377B42B"/>
    <w:rsid w:val="5403B7F0"/>
    <w:rsid w:val="547F278C"/>
    <w:rsid w:val="548469CA"/>
    <w:rsid w:val="569C9990"/>
    <w:rsid w:val="56B5BCF0"/>
    <w:rsid w:val="56FD4857"/>
    <w:rsid w:val="585CDD76"/>
    <w:rsid w:val="58A0C833"/>
    <w:rsid w:val="59217181"/>
    <w:rsid w:val="592AF142"/>
    <w:rsid w:val="597AAD4B"/>
    <w:rsid w:val="59941916"/>
    <w:rsid w:val="59FC6AB8"/>
    <w:rsid w:val="59FF92AA"/>
    <w:rsid w:val="5A4CF847"/>
    <w:rsid w:val="5BD4ABC2"/>
    <w:rsid w:val="5CAF9899"/>
    <w:rsid w:val="5D5C06D9"/>
    <w:rsid w:val="5EA7A2D7"/>
    <w:rsid w:val="5F1E273E"/>
    <w:rsid w:val="60638ED6"/>
    <w:rsid w:val="60D46A6A"/>
    <w:rsid w:val="60DBFA74"/>
    <w:rsid w:val="612AD12F"/>
    <w:rsid w:val="6162FFC3"/>
    <w:rsid w:val="61637202"/>
    <w:rsid w:val="61FE6FA2"/>
    <w:rsid w:val="62AB2110"/>
    <w:rsid w:val="644D3FB0"/>
    <w:rsid w:val="64A27F6A"/>
    <w:rsid w:val="64FD638E"/>
    <w:rsid w:val="65023B2C"/>
    <w:rsid w:val="65271547"/>
    <w:rsid w:val="6597B8F7"/>
    <w:rsid w:val="65CCD088"/>
    <w:rsid w:val="66813328"/>
    <w:rsid w:val="66E7FF71"/>
    <w:rsid w:val="67EE2533"/>
    <w:rsid w:val="6849AA12"/>
    <w:rsid w:val="691263A2"/>
    <w:rsid w:val="6A1654EA"/>
    <w:rsid w:val="6A1FD1D0"/>
    <w:rsid w:val="6A46C720"/>
    <w:rsid w:val="6B8009C6"/>
    <w:rsid w:val="6BBA4BB1"/>
    <w:rsid w:val="6C3B88C2"/>
    <w:rsid w:val="6C9BD0C8"/>
    <w:rsid w:val="6CB88E1F"/>
    <w:rsid w:val="6D1904EB"/>
    <w:rsid w:val="6D5E85E0"/>
    <w:rsid w:val="6DAE3EDA"/>
    <w:rsid w:val="6DCA504F"/>
    <w:rsid w:val="6DFA0C05"/>
    <w:rsid w:val="6E01C7C2"/>
    <w:rsid w:val="6F0683D9"/>
    <w:rsid w:val="6F11EB75"/>
    <w:rsid w:val="70302AE8"/>
    <w:rsid w:val="707CEB4E"/>
    <w:rsid w:val="71100E34"/>
    <w:rsid w:val="71EBE438"/>
    <w:rsid w:val="71F3EA45"/>
    <w:rsid w:val="720B6552"/>
    <w:rsid w:val="73AA04A4"/>
    <w:rsid w:val="7491E80E"/>
    <w:rsid w:val="754437A8"/>
    <w:rsid w:val="7589C730"/>
    <w:rsid w:val="75C105B1"/>
    <w:rsid w:val="771F7B53"/>
    <w:rsid w:val="77350B2B"/>
    <w:rsid w:val="7764181E"/>
    <w:rsid w:val="7765BCFD"/>
    <w:rsid w:val="776F8D24"/>
    <w:rsid w:val="782399CE"/>
    <w:rsid w:val="78623F03"/>
    <w:rsid w:val="78B6C6E1"/>
    <w:rsid w:val="78E0B399"/>
    <w:rsid w:val="799A6A50"/>
    <w:rsid w:val="79DE10A9"/>
    <w:rsid w:val="79F8B837"/>
    <w:rsid w:val="7A33EB37"/>
    <w:rsid w:val="7BB8702C"/>
    <w:rsid w:val="7BBEE289"/>
    <w:rsid w:val="7BDB6F44"/>
    <w:rsid w:val="7C4026AC"/>
    <w:rsid w:val="7DA8612A"/>
    <w:rsid w:val="7E52F75C"/>
    <w:rsid w:val="7EAF2EE5"/>
    <w:rsid w:val="7ED91CBE"/>
    <w:rsid w:val="7EE13122"/>
    <w:rsid w:val="7EE7AD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2225C2"/>
  <w14:defaultImageDpi w14:val="330"/>
  <w15:docId w15:val="{04C83CC2-898D-468B-AEC8-F7FE9A474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PGothic"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8"/>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70E"/>
    <w:pPr>
      <w:spacing w:after="300" w:line="240" w:lineRule="atLeast"/>
      <w:ind w:right="284"/>
    </w:pPr>
    <w:rPr>
      <w:color w:val="000000"/>
      <w:sz w:val="22"/>
      <w:szCs w:val="18"/>
      <w:lang w:val="en-GB"/>
    </w:rPr>
  </w:style>
  <w:style w:type="paragraph" w:styleId="Ttulo1">
    <w:name w:val="heading 1"/>
    <w:next w:val="Normal"/>
    <w:link w:val="Ttulo1Car"/>
    <w:uiPriority w:val="1"/>
    <w:qFormat/>
    <w:rsid w:val="004377CC"/>
    <w:pPr>
      <w:keepNext/>
      <w:keepLines/>
      <w:spacing w:before="360" w:after="300" w:line="440" w:lineRule="exact"/>
      <w:ind w:right="284"/>
      <w:outlineLvl w:val="0"/>
    </w:pPr>
    <w:rPr>
      <w:b/>
      <w:bCs/>
      <w:color w:val="263238"/>
      <w:sz w:val="40"/>
      <w:szCs w:val="32"/>
      <w:lang w:val="en-GB"/>
    </w:rPr>
  </w:style>
  <w:style w:type="paragraph" w:styleId="Ttulo2">
    <w:name w:val="heading 2"/>
    <w:basedOn w:val="Normal"/>
    <w:next w:val="Normal"/>
    <w:link w:val="Ttulo2Car"/>
    <w:uiPriority w:val="1"/>
    <w:qFormat/>
    <w:rsid w:val="004377CC"/>
    <w:pPr>
      <w:keepNext/>
      <w:keepLines/>
      <w:spacing w:before="240" w:after="120" w:line="300" w:lineRule="exact"/>
      <w:outlineLvl w:val="1"/>
    </w:pPr>
    <w:rPr>
      <w:b/>
      <w:bCs/>
      <w:color w:val="617076"/>
      <w:sz w:val="27"/>
      <w:szCs w:val="27"/>
    </w:rPr>
  </w:style>
  <w:style w:type="paragraph" w:styleId="Ttulo3">
    <w:name w:val="heading 3"/>
    <w:basedOn w:val="Normal"/>
    <w:next w:val="Normal"/>
    <w:link w:val="Ttulo3Car"/>
    <w:uiPriority w:val="1"/>
    <w:qFormat/>
    <w:rsid w:val="004377CC"/>
    <w:pPr>
      <w:keepNext/>
      <w:keepLines/>
      <w:spacing w:before="160" w:after="120" w:line="260" w:lineRule="exact"/>
      <w:outlineLvl w:val="2"/>
    </w:pPr>
    <w:rPr>
      <w:b/>
      <w:bCs/>
      <w:color w:val="263238"/>
    </w:rPr>
  </w:style>
  <w:style w:type="paragraph" w:styleId="Ttulo4">
    <w:name w:val="heading 4"/>
    <w:basedOn w:val="Normal"/>
    <w:next w:val="Normal"/>
    <w:link w:val="Ttulo4Car"/>
    <w:uiPriority w:val="1"/>
    <w:qFormat/>
    <w:rsid w:val="003546FA"/>
    <w:pPr>
      <w:keepNext/>
      <w:keepLines/>
      <w:spacing w:after="0"/>
      <w:outlineLvl w:val="3"/>
    </w:pPr>
    <w:rPr>
      <w:b/>
      <w:bCs/>
      <w:iCs/>
      <w:color w:val="303B41"/>
    </w:rPr>
  </w:style>
  <w:style w:type="paragraph" w:styleId="Ttulo5">
    <w:name w:val="heading 5"/>
    <w:basedOn w:val="Normal"/>
    <w:next w:val="Normal"/>
    <w:link w:val="Ttulo5Car"/>
    <w:uiPriority w:val="9"/>
    <w:unhideWhenUsed/>
    <w:rsid w:val="001035A7"/>
    <w:pPr>
      <w:keepNext/>
      <w:keepLines/>
      <w:spacing w:before="40" w:after="0"/>
      <w:outlineLvl w:val="4"/>
    </w:pPr>
    <w:rPr>
      <w:color w:val="303B41"/>
    </w:rPr>
  </w:style>
  <w:style w:type="paragraph" w:styleId="Ttulo6">
    <w:name w:val="heading 6"/>
    <w:basedOn w:val="Normal"/>
    <w:next w:val="Normal"/>
    <w:link w:val="Ttulo6Car"/>
    <w:uiPriority w:val="9"/>
    <w:semiHidden/>
    <w:unhideWhenUsed/>
    <w:qFormat/>
    <w:rsid w:val="003546FA"/>
    <w:pPr>
      <w:keepNext/>
      <w:keepLines/>
      <w:spacing w:before="40" w:after="0"/>
      <w:outlineLvl w:val="5"/>
    </w:pPr>
    <w:rPr>
      <w:color w:val="303B4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0305"/>
    <w:pPr>
      <w:tabs>
        <w:tab w:val="center" w:pos="4320"/>
        <w:tab w:val="right" w:pos="8640"/>
      </w:tabs>
    </w:pPr>
  </w:style>
  <w:style w:type="character" w:customStyle="1" w:styleId="EncabezadoCar">
    <w:name w:val="Encabezado Car"/>
    <w:basedOn w:val="Fuentedeprrafopredeter"/>
    <w:link w:val="Encabezado"/>
    <w:uiPriority w:val="99"/>
    <w:rsid w:val="00300305"/>
  </w:style>
  <w:style w:type="paragraph" w:styleId="Piedepgina">
    <w:name w:val="footer"/>
    <w:basedOn w:val="Encabezado"/>
    <w:link w:val="PiedepginaCar"/>
    <w:uiPriority w:val="99"/>
    <w:unhideWhenUsed/>
    <w:rsid w:val="004377CC"/>
    <w:pPr>
      <w:ind w:left="-1418" w:right="567"/>
    </w:pPr>
    <w:rPr>
      <w:b/>
      <w:color w:val="617076"/>
    </w:rPr>
  </w:style>
  <w:style w:type="character" w:customStyle="1" w:styleId="PiedepginaCar">
    <w:name w:val="Pie de página Car"/>
    <w:link w:val="Piedepgina"/>
    <w:uiPriority w:val="99"/>
    <w:rsid w:val="004377CC"/>
    <w:rPr>
      <w:b/>
      <w:color w:val="617076"/>
      <w:sz w:val="22"/>
      <w:szCs w:val="18"/>
    </w:rPr>
  </w:style>
  <w:style w:type="paragraph" w:styleId="Textodeglobo">
    <w:name w:val="Balloon Text"/>
    <w:basedOn w:val="Normal"/>
    <w:link w:val="TextodegloboCar"/>
    <w:uiPriority w:val="99"/>
    <w:semiHidden/>
    <w:unhideWhenUsed/>
    <w:rsid w:val="00300305"/>
    <w:rPr>
      <w:rFonts w:ascii="Lucida Grande" w:hAnsi="Lucida Grande" w:cs="Lucida Grande"/>
    </w:rPr>
  </w:style>
  <w:style w:type="character" w:customStyle="1" w:styleId="TextodegloboCar">
    <w:name w:val="Texto de globo Car"/>
    <w:link w:val="Textodeglobo"/>
    <w:uiPriority w:val="99"/>
    <w:semiHidden/>
    <w:rsid w:val="00300305"/>
    <w:rPr>
      <w:rFonts w:ascii="Lucida Grande" w:hAnsi="Lucida Grande" w:cs="Lucida Grande"/>
      <w:sz w:val="18"/>
      <w:szCs w:val="18"/>
    </w:rPr>
  </w:style>
  <w:style w:type="paragraph" w:styleId="Ttulo">
    <w:name w:val="Title"/>
    <w:basedOn w:val="Normal"/>
    <w:next w:val="Subttulo"/>
    <w:link w:val="TtuloCar"/>
    <w:uiPriority w:val="4"/>
    <w:qFormat/>
    <w:rsid w:val="004377CC"/>
    <w:pPr>
      <w:spacing w:before="2500" w:after="800" w:line="900" w:lineRule="exact"/>
      <w:ind w:left="-1418" w:right="4536"/>
      <w:contextualSpacing/>
    </w:pPr>
    <w:rPr>
      <w:rFonts w:cs="Times New Roman (Headings CS)"/>
      <w:b/>
      <w:color w:val="263238"/>
      <w:spacing w:val="5"/>
      <w:kern w:val="28"/>
      <w:sz w:val="84"/>
      <w:szCs w:val="52"/>
    </w:rPr>
  </w:style>
  <w:style w:type="character" w:customStyle="1" w:styleId="TtuloCar">
    <w:name w:val="Título Car"/>
    <w:link w:val="Ttulo"/>
    <w:uiPriority w:val="4"/>
    <w:rsid w:val="004377CC"/>
    <w:rPr>
      <w:rFonts w:ascii="Calibri" w:eastAsia="MS PGothic" w:hAnsi="Calibri" w:cs="Times New Roman (Headings CS)"/>
      <w:b/>
      <w:color w:val="263238"/>
      <w:spacing w:val="5"/>
      <w:kern w:val="28"/>
      <w:sz w:val="84"/>
      <w:szCs w:val="52"/>
    </w:rPr>
  </w:style>
  <w:style w:type="paragraph" w:styleId="Subttulo">
    <w:name w:val="Subtitle"/>
    <w:next w:val="Normal"/>
    <w:link w:val="SubttuloCar"/>
    <w:uiPriority w:val="4"/>
    <w:qFormat/>
    <w:rsid w:val="004377CC"/>
    <w:pPr>
      <w:numPr>
        <w:ilvl w:val="1"/>
      </w:numPr>
      <w:spacing w:after="400" w:line="520" w:lineRule="exact"/>
      <w:ind w:left="-1418"/>
    </w:pPr>
    <w:rPr>
      <w:b/>
      <w:iCs/>
      <w:color w:val="617076"/>
      <w:spacing w:val="15"/>
      <w:sz w:val="40"/>
      <w:szCs w:val="24"/>
      <w:lang w:val="en-GB"/>
    </w:rPr>
  </w:style>
  <w:style w:type="character" w:customStyle="1" w:styleId="SubttuloCar">
    <w:name w:val="Subtítulo Car"/>
    <w:link w:val="Subttulo"/>
    <w:uiPriority w:val="4"/>
    <w:rsid w:val="004377CC"/>
    <w:rPr>
      <w:rFonts w:ascii="Calibri" w:eastAsia="MS PGothic" w:hAnsi="Calibri" w:cs="Times New Roman"/>
      <w:b/>
      <w:iCs/>
      <w:color w:val="617076"/>
      <w:spacing w:val="15"/>
      <w:sz w:val="40"/>
    </w:rPr>
  </w:style>
  <w:style w:type="character" w:styleId="Textoennegrita">
    <w:name w:val="Strong"/>
    <w:uiPriority w:val="22"/>
    <w:qFormat/>
    <w:rsid w:val="00104F1A"/>
    <w:rPr>
      <w:b/>
      <w:bCs/>
      <w:color w:val="auto"/>
    </w:rPr>
  </w:style>
  <w:style w:type="paragraph" w:customStyle="1" w:styleId="Paperdetails">
    <w:name w:val="Paper details"/>
    <w:basedOn w:val="Normal"/>
    <w:uiPriority w:val="7"/>
    <w:semiHidden/>
    <w:rsid w:val="00C53A18"/>
    <w:pPr>
      <w:pBdr>
        <w:top w:val="single" w:sz="8" w:space="5" w:color="00D29A"/>
      </w:pBdr>
      <w:spacing w:after="140" w:line="300" w:lineRule="exact"/>
      <w:ind w:left="-1418" w:right="7088"/>
      <w:contextualSpacing/>
    </w:pPr>
    <w:rPr>
      <w:b/>
      <w:color w:val="303B41"/>
      <w:sz w:val="20"/>
    </w:rPr>
  </w:style>
  <w:style w:type="character" w:styleId="Nmerodepgina">
    <w:name w:val="page number"/>
    <w:uiPriority w:val="99"/>
    <w:unhideWhenUsed/>
    <w:rsid w:val="004D25F3"/>
    <w:rPr>
      <w:b/>
      <w:color w:val="008059"/>
      <w:sz w:val="22"/>
    </w:rPr>
  </w:style>
  <w:style w:type="character" w:customStyle="1" w:styleId="Ttulo1Car">
    <w:name w:val="Título 1 Car"/>
    <w:link w:val="Ttulo1"/>
    <w:uiPriority w:val="1"/>
    <w:rsid w:val="004377CC"/>
    <w:rPr>
      <w:rFonts w:ascii="Calibri" w:eastAsia="MS PGothic" w:hAnsi="Calibri" w:cs="Times New Roman"/>
      <w:b/>
      <w:bCs/>
      <w:color w:val="263238"/>
      <w:sz w:val="40"/>
      <w:szCs w:val="32"/>
    </w:rPr>
  </w:style>
  <w:style w:type="paragraph" w:customStyle="1" w:styleId="PagerunningheadLeftPagefurniture">
    <w:name w:val="• Page running head (Left) (Page furniture)"/>
    <w:uiPriority w:val="99"/>
    <w:qFormat/>
    <w:rsid w:val="004377CC"/>
    <w:pPr>
      <w:widowControl w:val="0"/>
      <w:suppressAutoHyphens/>
      <w:autoSpaceDE w:val="0"/>
      <w:autoSpaceDN w:val="0"/>
      <w:adjustRightInd w:val="0"/>
      <w:spacing w:after="240" w:line="240" w:lineRule="atLeast"/>
      <w:ind w:left="-1418" w:firstLine="142"/>
      <w:textAlignment w:val="center"/>
    </w:pPr>
    <w:rPr>
      <w:rFonts w:cs="Calibre-Semibold"/>
      <w:b/>
      <w:color w:val="617076"/>
      <w:sz w:val="22"/>
      <w:szCs w:val="18"/>
      <w:lang w:val="en-GB"/>
    </w:rPr>
  </w:style>
  <w:style w:type="character" w:customStyle="1" w:styleId="Ttulo2Car">
    <w:name w:val="Título 2 Car"/>
    <w:link w:val="Ttulo2"/>
    <w:uiPriority w:val="1"/>
    <w:rsid w:val="004377CC"/>
    <w:rPr>
      <w:rFonts w:ascii="Calibri" w:eastAsia="MS PGothic" w:hAnsi="Calibri" w:cs="Times New Roman"/>
      <w:b/>
      <w:bCs/>
      <w:color w:val="617076"/>
      <w:sz w:val="27"/>
      <w:szCs w:val="27"/>
    </w:rPr>
  </w:style>
  <w:style w:type="paragraph" w:styleId="NormalWeb">
    <w:name w:val="Normal (Web)"/>
    <w:basedOn w:val="Normal"/>
    <w:uiPriority w:val="99"/>
    <w:semiHidden/>
    <w:unhideWhenUsed/>
    <w:rsid w:val="0028060C"/>
    <w:pPr>
      <w:spacing w:before="100" w:beforeAutospacing="1" w:after="100" w:afterAutospacing="1"/>
    </w:pPr>
    <w:rPr>
      <w:rFonts w:ascii="Times" w:hAnsi="Times"/>
      <w:sz w:val="20"/>
      <w:szCs w:val="20"/>
    </w:rPr>
  </w:style>
  <w:style w:type="character" w:customStyle="1" w:styleId="Ttulo3Car">
    <w:name w:val="Título 3 Car"/>
    <w:link w:val="Ttulo3"/>
    <w:uiPriority w:val="1"/>
    <w:rsid w:val="004377CC"/>
    <w:rPr>
      <w:rFonts w:ascii="Calibri" w:eastAsia="MS PGothic" w:hAnsi="Calibri" w:cs="Times New Roman"/>
      <w:b/>
      <w:bCs/>
      <w:color w:val="263238"/>
      <w:sz w:val="22"/>
      <w:szCs w:val="18"/>
    </w:rPr>
  </w:style>
  <w:style w:type="table" w:styleId="Tablaconcuadrcula">
    <w:name w:val="Table Grid"/>
    <w:basedOn w:val="Tablanormal"/>
    <w:uiPriority w:val="59"/>
    <w:rsid w:val="00E57581"/>
    <w:tblPr>
      <w:tblBorders>
        <w:bottom w:val="single" w:sz="6" w:space="0" w:color="00D29A"/>
        <w:insideH w:val="single" w:sz="6" w:space="0" w:color="00D29A"/>
      </w:tblBorders>
    </w:tblPr>
    <w:tcPr>
      <w:shd w:val="clear" w:color="auto" w:fill="auto"/>
      <w:vAlign w:val="center"/>
    </w:tcPr>
    <w:tblStylePr w:type="firstRow">
      <w:pPr>
        <w:jc w:val="left"/>
      </w:pPr>
      <w:tblPr/>
      <w:tcPr>
        <w:shd w:val="clear" w:color="auto" w:fill="00D29A"/>
      </w:tcPr>
    </w:tblStylePr>
  </w:style>
  <w:style w:type="paragraph" w:styleId="Listaconvietas">
    <w:name w:val="List Bullet"/>
    <w:basedOn w:val="Normal"/>
    <w:uiPriority w:val="99"/>
    <w:unhideWhenUsed/>
    <w:qFormat/>
    <w:rsid w:val="00BE6AC9"/>
    <w:pPr>
      <w:numPr>
        <w:numId w:val="1"/>
      </w:numPr>
      <w:ind w:left="357" w:right="567" w:hanging="357"/>
      <w:contextualSpacing/>
    </w:pPr>
  </w:style>
  <w:style w:type="paragraph" w:styleId="Prrafodelista">
    <w:name w:val="List Paragraph"/>
    <w:basedOn w:val="Normal"/>
    <w:next w:val="Normal"/>
    <w:uiPriority w:val="34"/>
    <w:qFormat/>
    <w:rsid w:val="001035A7"/>
    <w:pPr>
      <w:numPr>
        <w:numId w:val="2"/>
      </w:numPr>
      <w:tabs>
        <w:tab w:val="left" w:pos="284"/>
      </w:tabs>
      <w:ind w:right="567"/>
      <w:contextualSpacing/>
    </w:pPr>
    <w:rPr>
      <w:rFonts w:cs="Times New Roman (Body CS)"/>
      <w:b/>
    </w:rPr>
  </w:style>
  <w:style w:type="paragraph" w:customStyle="1" w:styleId="TableFigureTitle">
    <w:name w:val="Table/Figure Title"/>
    <w:basedOn w:val="Normal"/>
    <w:uiPriority w:val="7"/>
    <w:qFormat/>
    <w:rsid w:val="00500E68"/>
    <w:pPr>
      <w:spacing w:after="140"/>
    </w:pPr>
    <w:rPr>
      <w:b/>
      <w:color w:val="303B41"/>
      <w:sz w:val="19"/>
    </w:rPr>
  </w:style>
  <w:style w:type="paragraph" w:customStyle="1" w:styleId="TableFigureSource">
    <w:name w:val="Table/Figure Source"/>
    <w:basedOn w:val="Normal"/>
    <w:uiPriority w:val="7"/>
    <w:qFormat/>
    <w:rsid w:val="001035A7"/>
    <w:pPr>
      <w:spacing w:before="140" w:line="200" w:lineRule="exact"/>
    </w:pPr>
    <w:rPr>
      <w:i/>
      <w:sz w:val="20"/>
    </w:rPr>
  </w:style>
  <w:style w:type="character" w:customStyle="1" w:styleId="Ttulo4Car">
    <w:name w:val="Título 4 Car"/>
    <w:link w:val="Ttulo4"/>
    <w:uiPriority w:val="1"/>
    <w:rsid w:val="002366C2"/>
    <w:rPr>
      <w:rFonts w:ascii="Calibri" w:eastAsia="MS PGothic" w:hAnsi="Calibri" w:cs="Times New Roman"/>
      <w:b/>
      <w:bCs/>
      <w:iCs/>
      <w:color w:val="303B41"/>
      <w:sz w:val="22"/>
      <w:szCs w:val="18"/>
    </w:rPr>
  </w:style>
  <w:style w:type="paragraph" w:styleId="Cita">
    <w:name w:val="Quote"/>
    <w:basedOn w:val="Normal"/>
    <w:next w:val="Normal"/>
    <w:link w:val="CitaCar"/>
    <w:uiPriority w:val="29"/>
    <w:qFormat/>
    <w:rsid w:val="00E308D8"/>
    <w:pPr>
      <w:spacing w:before="300" w:after="60" w:line="280" w:lineRule="exact"/>
      <w:ind w:right="1134"/>
    </w:pPr>
    <w:rPr>
      <w:b/>
      <w:bCs/>
      <w:color w:val="595959"/>
      <w:sz w:val="24"/>
      <w:szCs w:val="20"/>
    </w:rPr>
  </w:style>
  <w:style w:type="paragraph" w:customStyle="1" w:styleId="BoxHeading">
    <w:name w:val="Box Heading"/>
    <w:basedOn w:val="Normal"/>
    <w:uiPriority w:val="4"/>
    <w:qFormat/>
    <w:rsid w:val="004377CC"/>
    <w:pPr>
      <w:pBdr>
        <w:top w:val="single" w:sz="8" w:space="4" w:color="00D29A"/>
      </w:pBdr>
      <w:spacing w:after="0" w:line="260" w:lineRule="exact"/>
    </w:pPr>
    <w:rPr>
      <w:b/>
      <w:bCs/>
      <w:caps/>
      <w:color w:val="617076"/>
      <w:szCs w:val="22"/>
    </w:rPr>
  </w:style>
  <w:style w:type="paragraph" w:customStyle="1" w:styleId="BoxSubheading">
    <w:name w:val="Box Subheading"/>
    <w:basedOn w:val="BoxHeading"/>
    <w:uiPriority w:val="4"/>
    <w:rsid w:val="00500E68"/>
    <w:pPr>
      <w:pBdr>
        <w:top w:val="none" w:sz="0" w:space="0" w:color="auto"/>
      </w:pBdr>
      <w:spacing w:after="140" w:line="240" w:lineRule="exact"/>
    </w:pPr>
    <w:rPr>
      <w:b w:val="0"/>
      <w:sz w:val="20"/>
    </w:rPr>
  </w:style>
  <w:style w:type="paragraph" w:customStyle="1" w:styleId="BoxTextFirst">
    <w:name w:val="Box Text First"/>
    <w:basedOn w:val="Normal"/>
    <w:uiPriority w:val="4"/>
    <w:qFormat/>
    <w:rsid w:val="002C03D0"/>
    <w:pPr>
      <w:spacing w:after="140"/>
    </w:pPr>
  </w:style>
  <w:style w:type="paragraph" w:customStyle="1" w:styleId="BoxTextLast">
    <w:name w:val="Box Text Last"/>
    <w:basedOn w:val="Normal"/>
    <w:uiPriority w:val="4"/>
    <w:qFormat/>
    <w:rsid w:val="002C03D0"/>
    <w:pPr>
      <w:pBdr>
        <w:bottom w:val="single" w:sz="8" w:space="4" w:color="00D29A"/>
      </w:pBdr>
    </w:pPr>
  </w:style>
  <w:style w:type="character" w:customStyle="1" w:styleId="CitaCar">
    <w:name w:val="Cita Car"/>
    <w:link w:val="Cita"/>
    <w:uiPriority w:val="29"/>
    <w:rsid w:val="00E308D8"/>
    <w:rPr>
      <w:b/>
      <w:bCs/>
      <w:color w:val="595959"/>
      <w:szCs w:val="20"/>
    </w:rPr>
  </w:style>
  <w:style w:type="paragraph" w:styleId="Textonotaalfinal">
    <w:name w:val="endnote text"/>
    <w:basedOn w:val="Normal"/>
    <w:link w:val="TextonotaalfinalCar"/>
    <w:uiPriority w:val="99"/>
    <w:unhideWhenUsed/>
    <w:rsid w:val="00CD6C67"/>
    <w:pPr>
      <w:spacing w:after="80"/>
    </w:pPr>
    <w:rPr>
      <w:sz w:val="20"/>
    </w:rPr>
  </w:style>
  <w:style w:type="paragraph" w:customStyle="1" w:styleId="Quotecredit">
    <w:name w:val="Quote credit"/>
    <w:basedOn w:val="Normal"/>
    <w:uiPriority w:val="7"/>
    <w:qFormat/>
    <w:rsid w:val="00CD7F8C"/>
    <w:rPr>
      <w:b/>
      <w:color w:val="303B41"/>
      <w:lang w:val="en-US"/>
    </w:rPr>
  </w:style>
  <w:style w:type="character" w:customStyle="1" w:styleId="TextonotaalfinalCar">
    <w:name w:val="Texto nota al final Car"/>
    <w:link w:val="Textonotaalfinal"/>
    <w:uiPriority w:val="99"/>
    <w:rsid w:val="00CD6C67"/>
    <w:rPr>
      <w:color w:val="000000"/>
      <w:sz w:val="20"/>
      <w:szCs w:val="18"/>
    </w:rPr>
  </w:style>
  <w:style w:type="character" w:styleId="Refdenotaalfinal">
    <w:name w:val="endnote reference"/>
    <w:uiPriority w:val="99"/>
    <w:unhideWhenUsed/>
    <w:rsid w:val="002E677E"/>
    <w:rPr>
      <w:b/>
      <w:color w:val="008059"/>
      <w:vertAlign w:val="superscript"/>
    </w:rPr>
  </w:style>
  <w:style w:type="character" w:styleId="nfasis">
    <w:name w:val="Emphasis"/>
    <w:uiPriority w:val="20"/>
    <w:qFormat/>
    <w:rsid w:val="005D2194"/>
    <w:rPr>
      <w:i/>
      <w:iCs/>
    </w:rPr>
  </w:style>
  <w:style w:type="paragraph" w:styleId="Textonotapie">
    <w:name w:val="footnote text"/>
    <w:basedOn w:val="Normal"/>
    <w:link w:val="TextonotapieCar"/>
    <w:uiPriority w:val="99"/>
    <w:unhideWhenUsed/>
    <w:rsid w:val="00CD6C67"/>
    <w:pPr>
      <w:spacing w:after="80" w:line="200" w:lineRule="exact"/>
    </w:pPr>
    <w:rPr>
      <w:color w:val="303B41"/>
      <w:sz w:val="20"/>
    </w:rPr>
  </w:style>
  <w:style w:type="character" w:styleId="Hipervnculo">
    <w:name w:val="Hyperlink"/>
    <w:uiPriority w:val="99"/>
    <w:unhideWhenUsed/>
    <w:qFormat/>
    <w:rsid w:val="005D2194"/>
    <w:rPr>
      <w:color w:val="008059"/>
      <w:u w:val="single"/>
    </w:rPr>
  </w:style>
  <w:style w:type="character" w:customStyle="1" w:styleId="TextonotapieCar">
    <w:name w:val="Texto nota pie Car"/>
    <w:link w:val="Textonotapie"/>
    <w:uiPriority w:val="99"/>
    <w:rsid w:val="00CD6C67"/>
    <w:rPr>
      <w:color w:val="303B41"/>
      <w:sz w:val="20"/>
      <w:szCs w:val="18"/>
    </w:rPr>
  </w:style>
  <w:style w:type="character" w:styleId="Refdenotaalpie">
    <w:name w:val="footnote reference"/>
    <w:uiPriority w:val="99"/>
    <w:unhideWhenUsed/>
    <w:rsid w:val="004377CC"/>
    <w:rPr>
      <w:b/>
      <w:color w:val="263238"/>
      <w:vertAlign w:val="superscript"/>
    </w:rPr>
  </w:style>
  <w:style w:type="paragraph" w:customStyle="1" w:styleId="ImprintPagefurnitureimprint">
    <w:name w:val="• Imprint (Page furniture / imprint)"/>
    <w:basedOn w:val="Normal"/>
    <w:uiPriority w:val="99"/>
    <w:rsid w:val="004818B6"/>
    <w:pPr>
      <w:widowControl w:val="0"/>
      <w:suppressAutoHyphens/>
      <w:autoSpaceDE w:val="0"/>
      <w:autoSpaceDN w:val="0"/>
      <w:adjustRightInd w:val="0"/>
      <w:spacing w:after="0"/>
      <w:textAlignment w:val="center"/>
    </w:pPr>
    <w:rPr>
      <w:rFonts w:ascii="Calibre-Regular" w:hAnsi="Calibre-Regular" w:cs="Calibre-Regular"/>
      <w:sz w:val="21"/>
      <w:szCs w:val="21"/>
    </w:rPr>
  </w:style>
  <w:style w:type="paragraph" w:styleId="Bibliografa">
    <w:name w:val="Bibliography"/>
    <w:basedOn w:val="Normal"/>
    <w:uiPriority w:val="37"/>
    <w:unhideWhenUsed/>
    <w:rsid w:val="003268A2"/>
    <w:pPr>
      <w:spacing w:after="0" w:line="480" w:lineRule="exact"/>
      <w:ind w:left="720" w:hanging="720"/>
    </w:pPr>
  </w:style>
  <w:style w:type="paragraph" w:customStyle="1" w:styleId="ImprinttopicPagefurnitureimprint">
    <w:name w:val="• Imprint topic (Page furniture / imprint)"/>
    <w:basedOn w:val="ImprintPagefurnitureimprint"/>
    <w:uiPriority w:val="99"/>
    <w:rsid w:val="004818B6"/>
    <w:pPr>
      <w:spacing w:before="113"/>
    </w:pPr>
    <w:rPr>
      <w:rFonts w:ascii="Calibre-Semibold" w:hAnsi="Calibre-Semibold" w:cs="Calibre-Semibold"/>
    </w:rPr>
  </w:style>
  <w:style w:type="paragraph" w:styleId="TDC1">
    <w:name w:val="toc 1"/>
    <w:basedOn w:val="Normal"/>
    <w:next w:val="Normal"/>
    <w:uiPriority w:val="39"/>
    <w:unhideWhenUsed/>
    <w:qFormat/>
    <w:rsid w:val="00C53A18"/>
    <w:pPr>
      <w:spacing w:line="300" w:lineRule="exact"/>
      <w:ind w:right="0"/>
    </w:pPr>
    <w:rPr>
      <w:b/>
      <w:color w:val="303B41"/>
    </w:rPr>
  </w:style>
  <w:style w:type="paragraph" w:customStyle="1" w:styleId="Imprintdetails">
    <w:name w:val="Imprint details"/>
    <w:basedOn w:val="Normal"/>
    <w:uiPriority w:val="7"/>
    <w:semiHidden/>
    <w:qFormat/>
    <w:rsid w:val="00706C66"/>
    <w:rPr>
      <w:color w:val="303B41"/>
      <w:sz w:val="21"/>
      <w:szCs w:val="21"/>
    </w:rPr>
  </w:style>
  <w:style w:type="paragraph" w:styleId="TDC2">
    <w:name w:val="toc 2"/>
    <w:basedOn w:val="Normal"/>
    <w:next w:val="Normal"/>
    <w:uiPriority w:val="39"/>
    <w:unhideWhenUsed/>
    <w:qFormat/>
    <w:rsid w:val="002366C2"/>
    <w:pPr>
      <w:tabs>
        <w:tab w:val="right" w:leader="dot" w:pos="10076"/>
      </w:tabs>
      <w:spacing w:line="300" w:lineRule="exact"/>
      <w:ind w:right="0"/>
    </w:pPr>
    <w:rPr>
      <w:noProof/>
      <w:color w:val="303B41"/>
    </w:rPr>
  </w:style>
  <w:style w:type="paragraph" w:styleId="TDC3">
    <w:name w:val="toc 3"/>
    <w:basedOn w:val="Normal"/>
    <w:next w:val="Normal"/>
    <w:uiPriority w:val="39"/>
    <w:unhideWhenUsed/>
    <w:qFormat/>
    <w:rsid w:val="0067137E"/>
    <w:pPr>
      <w:spacing w:line="300" w:lineRule="exact"/>
    </w:pPr>
    <w:rPr>
      <w:color w:val="303B41"/>
    </w:rPr>
  </w:style>
  <w:style w:type="paragraph" w:styleId="TDC4">
    <w:name w:val="toc 4"/>
    <w:basedOn w:val="Normal"/>
    <w:next w:val="Normal"/>
    <w:autoRedefine/>
    <w:uiPriority w:val="39"/>
    <w:unhideWhenUsed/>
    <w:rsid w:val="00DE1D58"/>
    <w:pPr>
      <w:ind w:left="540"/>
    </w:pPr>
  </w:style>
  <w:style w:type="paragraph" w:styleId="TDC5">
    <w:name w:val="toc 5"/>
    <w:basedOn w:val="Normal"/>
    <w:next w:val="Normal"/>
    <w:autoRedefine/>
    <w:uiPriority w:val="39"/>
    <w:unhideWhenUsed/>
    <w:rsid w:val="00DE1D58"/>
    <w:pPr>
      <w:ind w:left="720"/>
    </w:pPr>
  </w:style>
  <w:style w:type="paragraph" w:styleId="TDC6">
    <w:name w:val="toc 6"/>
    <w:basedOn w:val="Normal"/>
    <w:next w:val="Normal"/>
    <w:autoRedefine/>
    <w:uiPriority w:val="39"/>
    <w:unhideWhenUsed/>
    <w:rsid w:val="00DE1D58"/>
    <w:pPr>
      <w:ind w:left="900"/>
    </w:pPr>
  </w:style>
  <w:style w:type="paragraph" w:styleId="TDC7">
    <w:name w:val="toc 7"/>
    <w:basedOn w:val="Normal"/>
    <w:next w:val="Normal"/>
    <w:autoRedefine/>
    <w:uiPriority w:val="39"/>
    <w:unhideWhenUsed/>
    <w:rsid w:val="00DE1D58"/>
    <w:pPr>
      <w:ind w:left="1080"/>
    </w:pPr>
  </w:style>
  <w:style w:type="paragraph" w:styleId="TDC8">
    <w:name w:val="toc 8"/>
    <w:basedOn w:val="Normal"/>
    <w:next w:val="Normal"/>
    <w:autoRedefine/>
    <w:uiPriority w:val="39"/>
    <w:unhideWhenUsed/>
    <w:rsid w:val="00DE1D58"/>
    <w:pPr>
      <w:ind w:left="1260"/>
    </w:pPr>
  </w:style>
  <w:style w:type="paragraph" w:styleId="TDC9">
    <w:name w:val="toc 9"/>
    <w:basedOn w:val="Normal"/>
    <w:next w:val="Normal"/>
    <w:autoRedefine/>
    <w:uiPriority w:val="39"/>
    <w:unhideWhenUsed/>
    <w:rsid w:val="00DE1D58"/>
    <w:pPr>
      <w:ind w:left="1440"/>
    </w:pPr>
  </w:style>
  <w:style w:type="paragraph" w:customStyle="1" w:styleId="Authordetails">
    <w:name w:val="Author details"/>
    <w:basedOn w:val="Paperdetails"/>
    <w:uiPriority w:val="4"/>
    <w:rsid w:val="00C22EC2"/>
    <w:pPr>
      <w:spacing w:after="300"/>
    </w:pPr>
    <w:rPr>
      <w:b w:val="0"/>
      <w:sz w:val="24"/>
    </w:rPr>
  </w:style>
  <w:style w:type="character" w:styleId="Hipervnculovisitado">
    <w:name w:val="FollowedHyperlink"/>
    <w:uiPriority w:val="99"/>
    <w:unhideWhenUsed/>
    <w:rsid w:val="00B658B9"/>
    <w:rPr>
      <w:color w:val="008059"/>
      <w:u w:val="single"/>
    </w:rPr>
  </w:style>
  <w:style w:type="paragraph" w:styleId="Citadestacada">
    <w:name w:val="Intense Quote"/>
    <w:basedOn w:val="Normal"/>
    <w:next w:val="Normal"/>
    <w:link w:val="CitadestacadaCar"/>
    <w:uiPriority w:val="8"/>
    <w:rsid w:val="002E677E"/>
    <w:pPr>
      <w:pBdr>
        <w:top w:val="single" w:sz="4" w:space="10" w:color="00D29A"/>
        <w:bottom w:val="single" w:sz="4" w:space="10" w:color="00D29A"/>
      </w:pBdr>
      <w:spacing w:before="360" w:after="360"/>
      <w:ind w:left="864" w:right="864"/>
      <w:jc w:val="center"/>
    </w:pPr>
    <w:rPr>
      <w:i/>
      <w:iCs/>
      <w:color w:val="008059"/>
      <w:sz w:val="24"/>
    </w:rPr>
  </w:style>
  <w:style w:type="character" w:customStyle="1" w:styleId="CitadestacadaCar">
    <w:name w:val="Cita destacada Car"/>
    <w:link w:val="Citadestacada"/>
    <w:uiPriority w:val="8"/>
    <w:rsid w:val="00B9670E"/>
    <w:rPr>
      <w:i/>
      <w:iCs/>
      <w:color w:val="008059"/>
      <w:szCs w:val="18"/>
    </w:rPr>
  </w:style>
  <w:style w:type="character" w:customStyle="1" w:styleId="Ttulo5Car">
    <w:name w:val="Título 5 Car"/>
    <w:link w:val="Ttulo5"/>
    <w:uiPriority w:val="9"/>
    <w:rsid w:val="001035A7"/>
    <w:rPr>
      <w:rFonts w:ascii="Calibri" w:eastAsia="MS PGothic" w:hAnsi="Calibri" w:cs="Times New Roman"/>
      <w:color w:val="303B41"/>
      <w:sz w:val="22"/>
      <w:szCs w:val="18"/>
    </w:rPr>
  </w:style>
  <w:style w:type="character" w:customStyle="1" w:styleId="Ttulo6Car">
    <w:name w:val="Título 6 Car"/>
    <w:link w:val="Ttulo6"/>
    <w:uiPriority w:val="9"/>
    <w:semiHidden/>
    <w:rsid w:val="003546FA"/>
    <w:rPr>
      <w:rFonts w:ascii="Calibri" w:eastAsia="MS PGothic" w:hAnsi="Calibri" w:cs="Times New Roman"/>
      <w:color w:val="303B41"/>
      <w:sz w:val="22"/>
      <w:szCs w:val="18"/>
    </w:rPr>
  </w:style>
  <w:style w:type="character" w:styleId="nfasisintenso">
    <w:name w:val="Intense Emphasis"/>
    <w:uiPriority w:val="21"/>
    <w:semiHidden/>
    <w:rsid w:val="002E677E"/>
    <w:rPr>
      <w:i/>
      <w:iCs/>
      <w:color w:val="008059"/>
    </w:rPr>
  </w:style>
  <w:style w:type="character" w:styleId="Referenciaintensa">
    <w:name w:val="Intense Reference"/>
    <w:uiPriority w:val="32"/>
    <w:rsid w:val="002E677E"/>
    <w:rPr>
      <w:b/>
      <w:bCs/>
      <w:smallCaps/>
      <w:color w:val="008059"/>
      <w:spacing w:val="5"/>
    </w:rPr>
  </w:style>
  <w:style w:type="paragraph" w:styleId="Sinespaciado">
    <w:name w:val="No Spacing"/>
    <w:uiPriority w:val="4"/>
    <w:qFormat/>
    <w:rsid w:val="00BE6AC9"/>
    <w:pPr>
      <w:ind w:right="284"/>
    </w:pPr>
    <w:rPr>
      <w:color w:val="000000"/>
      <w:sz w:val="22"/>
      <w:szCs w:val="18"/>
      <w:lang w:val="en-GB"/>
    </w:rPr>
  </w:style>
  <w:style w:type="character" w:customStyle="1" w:styleId="Mencinsinresolver1">
    <w:name w:val="Mención sin resolver1"/>
    <w:basedOn w:val="Fuentedeprrafopredeter"/>
    <w:uiPriority w:val="99"/>
    <w:rsid w:val="00822F7B"/>
    <w:rPr>
      <w:color w:val="605E5C"/>
      <w:shd w:val="clear" w:color="auto" w:fill="E1DFDD"/>
    </w:rPr>
  </w:style>
  <w:style w:type="table" w:customStyle="1" w:styleId="Tablanormal11">
    <w:name w:val="Tabla normal 11"/>
    <w:basedOn w:val="Tablanormal"/>
    <w:uiPriority w:val="41"/>
    <w:rsid w:val="00346C81"/>
    <w:rPr>
      <w:rFonts w:asciiTheme="minorHAnsi" w:eastAsiaTheme="minorHAnsi" w:hAnsiTheme="minorHAnsi" w:cstheme="minorBidi"/>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877D49"/>
    <w:rPr>
      <w:sz w:val="16"/>
      <w:szCs w:val="16"/>
    </w:rPr>
  </w:style>
  <w:style w:type="paragraph" w:styleId="Textocomentario">
    <w:name w:val="annotation text"/>
    <w:basedOn w:val="Normal"/>
    <w:link w:val="TextocomentarioCar"/>
    <w:uiPriority w:val="99"/>
    <w:unhideWhenUsed/>
    <w:rsid w:val="00877D49"/>
    <w:pPr>
      <w:widowControl w:val="0"/>
      <w:suppressAutoHyphens/>
      <w:spacing w:after="0" w:line="240" w:lineRule="auto"/>
      <w:ind w:right="0"/>
    </w:pPr>
    <w:rPr>
      <w:rFonts w:ascii="Liberation Serif" w:eastAsia="NSimSun" w:hAnsi="Liberation Serif" w:cs="Mangal"/>
      <w:color w:val="auto"/>
      <w:kern w:val="2"/>
      <w:sz w:val="20"/>
      <w:lang w:val="es-CO" w:eastAsia="zh-CN" w:bidi="hi-IN"/>
    </w:rPr>
  </w:style>
  <w:style w:type="character" w:customStyle="1" w:styleId="TextocomentarioCar">
    <w:name w:val="Texto comentario Car"/>
    <w:basedOn w:val="Fuentedeprrafopredeter"/>
    <w:link w:val="Textocomentario"/>
    <w:uiPriority w:val="99"/>
    <w:rsid w:val="00877D49"/>
    <w:rPr>
      <w:rFonts w:ascii="Liberation Serif" w:eastAsia="NSimSun" w:hAnsi="Liberation Serif" w:cs="Mangal"/>
      <w:kern w:val="2"/>
      <w:szCs w:val="18"/>
      <w:lang w:val="es-CO" w:eastAsia="zh-CN" w:bidi="hi-IN"/>
    </w:rPr>
  </w:style>
  <w:style w:type="paragraph" w:styleId="Asuntodelcomentario">
    <w:name w:val="annotation subject"/>
    <w:basedOn w:val="Textocomentario"/>
    <w:next w:val="Textocomentario"/>
    <w:link w:val="AsuntodelcomentarioCar"/>
    <w:uiPriority w:val="99"/>
    <w:semiHidden/>
    <w:unhideWhenUsed/>
    <w:rsid w:val="00DA609E"/>
    <w:pPr>
      <w:widowControl/>
      <w:suppressAutoHyphens w:val="0"/>
      <w:spacing w:after="300"/>
      <w:ind w:right="284"/>
    </w:pPr>
    <w:rPr>
      <w:rFonts w:ascii="Calibri" w:eastAsia="MS PGothic" w:hAnsi="Calibri" w:cs="Times New Roman"/>
      <w:b/>
      <w:bCs/>
      <w:color w:val="000000"/>
      <w:kern w:val="0"/>
      <w:szCs w:val="20"/>
      <w:lang w:val="en-GB" w:eastAsia="en-US" w:bidi="ar-SA"/>
    </w:rPr>
  </w:style>
  <w:style w:type="character" w:customStyle="1" w:styleId="AsuntodelcomentarioCar">
    <w:name w:val="Asunto del comentario Car"/>
    <w:basedOn w:val="TextocomentarioCar"/>
    <w:link w:val="Asuntodelcomentario"/>
    <w:uiPriority w:val="99"/>
    <w:semiHidden/>
    <w:rsid w:val="00DA609E"/>
    <w:rPr>
      <w:rFonts w:ascii="Liberation Serif" w:eastAsia="NSimSun" w:hAnsi="Liberation Serif" w:cs="Mangal"/>
      <w:b/>
      <w:bCs/>
      <w:color w:val="000000"/>
      <w:kern w:val="2"/>
      <w:szCs w:val="18"/>
      <w:lang w:val="en-GB" w:eastAsia="zh-CN" w:bidi="hi-IN"/>
    </w:rPr>
  </w:style>
  <w:style w:type="character" w:customStyle="1" w:styleId="cf01">
    <w:name w:val="cf01"/>
    <w:basedOn w:val="Fuentedeprrafopredeter"/>
    <w:rsid w:val="004E2187"/>
    <w:rPr>
      <w:rFonts w:ascii="Segoe UI" w:hAnsi="Segoe UI" w:cs="Segoe UI" w:hint="default"/>
      <w:sz w:val="18"/>
      <w:szCs w:val="18"/>
    </w:rPr>
  </w:style>
  <w:style w:type="paragraph" w:styleId="Descripcin">
    <w:name w:val="caption"/>
    <w:basedOn w:val="Normal"/>
    <w:next w:val="Normal"/>
    <w:uiPriority w:val="35"/>
    <w:unhideWhenUsed/>
    <w:qFormat/>
    <w:rsid w:val="00674D1A"/>
    <w:pPr>
      <w:spacing w:after="200" w:line="240" w:lineRule="auto"/>
    </w:pPr>
    <w:rPr>
      <w:i/>
      <w:iCs/>
      <w:color w:val="303B41" w:themeColor="text2"/>
      <w:sz w:val="18"/>
    </w:rPr>
  </w:style>
  <w:style w:type="paragraph" w:styleId="Tabladeilustraciones">
    <w:name w:val="table of figures"/>
    <w:basedOn w:val="Normal"/>
    <w:next w:val="Normal"/>
    <w:uiPriority w:val="99"/>
    <w:unhideWhenUsed/>
    <w:rsid w:val="00356CE2"/>
    <w:pPr>
      <w:spacing w:after="0"/>
    </w:pPr>
  </w:style>
  <w:style w:type="paragraph" w:styleId="Revisin">
    <w:name w:val="Revision"/>
    <w:hidden/>
    <w:uiPriority w:val="99"/>
    <w:semiHidden/>
    <w:rsid w:val="00A14980"/>
    <w:rPr>
      <w:color w:val="000000"/>
      <w:sz w:val="22"/>
      <w:szCs w:val="18"/>
      <w:lang w:val="en-GB"/>
    </w:rPr>
  </w:style>
  <w:style w:type="character" w:customStyle="1" w:styleId="Mencionar1">
    <w:name w:val="Mencionar1"/>
    <w:basedOn w:val="Fuentedeprrafopredeter"/>
    <w:uiPriority w:val="99"/>
    <w:unhideWhenUsed/>
    <w:rsid w:val="000C1AB9"/>
    <w:rPr>
      <w:color w:val="2B579A"/>
      <w:shd w:val="clear" w:color="auto" w:fill="E1DFDD"/>
    </w:rPr>
  </w:style>
  <w:style w:type="paragraph" w:customStyle="1" w:styleId="pf0">
    <w:name w:val="pf0"/>
    <w:basedOn w:val="Normal"/>
    <w:rsid w:val="00A904A4"/>
    <w:pPr>
      <w:spacing w:before="100" w:beforeAutospacing="1" w:after="100" w:afterAutospacing="1" w:line="240" w:lineRule="auto"/>
      <w:ind w:right="0"/>
    </w:pPr>
    <w:rPr>
      <w:rFonts w:ascii="Times New Roman" w:eastAsia="Times New Roman" w:hAnsi="Times New Roman"/>
      <w:color w:val="auto"/>
      <w:sz w:val="24"/>
      <w:szCs w:val="24"/>
      <w:lang w:val="es-CO" w:eastAsia="es-CO"/>
    </w:rPr>
  </w:style>
  <w:style w:type="paragraph" w:customStyle="1" w:styleId="Pa11">
    <w:name w:val="Pa11"/>
    <w:basedOn w:val="Normal"/>
    <w:next w:val="Normal"/>
    <w:uiPriority w:val="99"/>
    <w:rsid w:val="00F84CB6"/>
    <w:pPr>
      <w:autoSpaceDE w:val="0"/>
      <w:autoSpaceDN w:val="0"/>
      <w:adjustRightInd w:val="0"/>
      <w:spacing w:after="0" w:line="211" w:lineRule="atLeast"/>
      <w:ind w:right="0"/>
    </w:pPr>
    <w:rPr>
      <w:rFonts w:ascii="Calibre Semibold" w:hAnsi="Calibre Semibold"/>
      <w:color w:val="auto"/>
      <w:sz w:val="24"/>
      <w:szCs w:val="24"/>
      <w:lang w:val="es-CO"/>
    </w:rPr>
  </w:style>
  <w:style w:type="paragraph" w:customStyle="1" w:styleId="Default">
    <w:name w:val="Default"/>
    <w:rsid w:val="00235D23"/>
    <w:pPr>
      <w:autoSpaceDE w:val="0"/>
      <w:autoSpaceDN w:val="0"/>
      <w:adjustRightInd w:val="0"/>
    </w:pPr>
    <w:rPr>
      <w:rFonts w:ascii="Calibre Regular" w:hAnsi="Calibre Regular" w:cs="Calibre Regular"/>
      <w:color w:val="000000"/>
      <w:sz w:val="24"/>
      <w:szCs w:val="24"/>
      <w:lang w:val="es-CO"/>
    </w:rPr>
  </w:style>
  <w:style w:type="paragraph" w:customStyle="1" w:styleId="Standard">
    <w:name w:val="Standard"/>
    <w:rsid w:val="004364B2"/>
    <w:pPr>
      <w:suppressAutoHyphens/>
      <w:autoSpaceDN w:val="0"/>
      <w:spacing w:after="300" w:line="240" w:lineRule="atLeast"/>
      <w:ind w:right="284"/>
      <w:textAlignment w:val="baseline"/>
    </w:pPr>
    <w:rPr>
      <w:color w:val="000000"/>
      <w:kern w:val="3"/>
      <w:sz w:val="22"/>
      <w:szCs w:val="18"/>
      <w:lang w:val="en-GB"/>
    </w:rPr>
  </w:style>
  <w:style w:type="paragraph" w:customStyle="1" w:styleId="Textbody">
    <w:name w:val="Text body"/>
    <w:basedOn w:val="Standard"/>
    <w:rsid w:val="00197491"/>
    <w:pPr>
      <w:spacing w:after="120"/>
    </w:pPr>
  </w:style>
  <w:style w:type="numbering" w:customStyle="1" w:styleId="WWNum3">
    <w:name w:val="WWNum3"/>
    <w:basedOn w:val="Sinlista"/>
    <w:rsid w:val="00197491"/>
    <w:pPr>
      <w:numPr>
        <w:numId w:val="29"/>
      </w:numPr>
    </w:pPr>
  </w:style>
  <w:style w:type="character" w:styleId="Mencinsinresolver">
    <w:name w:val="Unresolved Mention"/>
    <w:basedOn w:val="Fuentedeprrafopredeter"/>
    <w:uiPriority w:val="99"/>
    <w:semiHidden/>
    <w:unhideWhenUsed/>
    <w:rsid w:val="00F77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878">
      <w:bodyDiv w:val="1"/>
      <w:marLeft w:val="0"/>
      <w:marRight w:val="0"/>
      <w:marTop w:val="0"/>
      <w:marBottom w:val="0"/>
      <w:divBdr>
        <w:top w:val="none" w:sz="0" w:space="0" w:color="auto"/>
        <w:left w:val="none" w:sz="0" w:space="0" w:color="auto"/>
        <w:bottom w:val="none" w:sz="0" w:space="0" w:color="auto"/>
        <w:right w:val="none" w:sz="0" w:space="0" w:color="auto"/>
      </w:divBdr>
    </w:div>
    <w:div w:id="90205926">
      <w:bodyDiv w:val="1"/>
      <w:marLeft w:val="0"/>
      <w:marRight w:val="0"/>
      <w:marTop w:val="0"/>
      <w:marBottom w:val="0"/>
      <w:divBdr>
        <w:top w:val="none" w:sz="0" w:space="0" w:color="auto"/>
        <w:left w:val="none" w:sz="0" w:space="0" w:color="auto"/>
        <w:bottom w:val="none" w:sz="0" w:space="0" w:color="auto"/>
        <w:right w:val="none" w:sz="0" w:space="0" w:color="auto"/>
      </w:divBdr>
    </w:div>
    <w:div w:id="97333398">
      <w:bodyDiv w:val="1"/>
      <w:marLeft w:val="0"/>
      <w:marRight w:val="0"/>
      <w:marTop w:val="0"/>
      <w:marBottom w:val="0"/>
      <w:divBdr>
        <w:top w:val="none" w:sz="0" w:space="0" w:color="auto"/>
        <w:left w:val="none" w:sz="0" w:space="0" w:color="auto"/>
        <w:bottom w:val="none" w:sz="0" w:space="0" w:color="auto"/>
        <w:right w:val="none" w:sz="0" w:space="0" w:color="auto"/>
      </w:divBdr>
    </w:div>
    <w:div w:id="113719578">
      <w:bodyDiv w:val="1"/>
      <w:marLeft w:val="0"/>
      <w:marRight w:val="0"/>
      <w:marTop w:val="0"/>
      <w:marBottom w:val="0"/>
      <w:divBdr>
        <w:top w:val="none" w:sz="0" w:space="0" w:color="auto"/>
        <w:left w:val="none" w:sz="0" w:space="0" w:color="auto"/>
        <w:bottom w:val="none" w:sz="0" w:space="0" w:color="auto"/>
        <w:right w:val="none" w:sz="0" w:space="0" w:color="auto"/>
      </w:divBdr>
    </w:div>
    <w:div w:id="165557602">
      <w:bodyDiv w:val="1"/>
      <w:marLeft w:val="0"/>
      <w:marRight w:val="0"/>
      <w:marTop w:val="0"/>
      <w:marBottom w:val="0"/>
      <w:divBdr>
        <w:top w:val="none" w:sz="0" w:space="0" w:color="auto"/>
        <w:left w:val="none" w:sz="0" w:space="0" w:color="auto"/>
        <w:bottom w:val="none" w:sz="0" w:space="0" w:color="auto"/>
        <w:right w:val="none" w:sz="0" w:space="0" w:color="auto"/>
      </w:divBdr>
    </w:div>
    <w:div w:id="205065126">
      <w:bodyDiv w:val="1"/>
      <w:marLeft w:val="0"/>
      <w:marRight w:val="0"/>
      <w:marTop w:val="0"/>
      <w:marBottom w:val="0"/>
      <w:divBdr>
        <w:top w:val="none" w:sz="0" w:space="0" w:color="auto"/>
        <w:left w:val="none" w:sz="0" w:space="0" w:color="auto"/>
        <w:bottom w:val="none" w:sz="0" w:space="0" w:color="auto"/>
        <w:right w:val="none" w:sz="0" w:space="0" w:color="auto"/>
      </w:divBdr>
    </w:div>
    <w:div w:id="206379010">
      <w:bodyDiv w:val="1"/>
      <w:marLeft w:val="0"/>
      <w:marRight w:val="0"/>
      <w:marTop w:val="0"/>
      <w:marBottom w:val="0"/>
      <w:divBdr>
        <w:top w:val="none" w:sz="0" w:space="0" w:color="auto"/>
        <w:left w:val="none" w:sz="0" w:space="0" w:color="auto"/>
        <w:bottom w:val="none" w:sz="0" w:space="0" w:color="auto"/>
        <w:right w:val="none" w:sz="0" w:space="0" w:color="auto"/>
      </w:divBdr>
    </w:div>
    <w:div w:id="275603079">
      <w:bodyDiv w:val="1"/>
      <w:marLeft w:val="0"/>
      <w:marRight w:val="0"/>
      <w:marTop w:val="0"/>
      <w:marBottom w:val="0"/>
      <w:divBdr>
        <w:top w:val="none" w:sz="0" w:space="0" w:color="auto"/>
        <w:left w:val="none" w:sz="0" w:space="0" w:color="auto"/>
        <w:bottom w:val="none" w:sz="0" w:space="0" w:color="auto"/>
        <w:right w:val="none" w:sz="0" w:space="0" w:color="auto"/>
      </w:divBdr>
    </w:div>
    <w:div w:id="369301812">
      <w:bodyDiv w:val="1"/>
      <w:marLeft w:val="0"/>
      <w:marRight w:val="0"/>
      <w:marTop w:val="0"/>
      <w:marBottom w:val="0"/>
      <w:divBdr>
        <w:top w:val="none" w:sz="0" w:space="0" w:color="auto"/>
        <w:left w:val="none" w:sz="0" w:space="0" w:color="auto"/>
        <w:bottom w:val="none" w:sz="0" w:space="0" w:color="auto"/>
        <w:right w:val="none" w:sz="0" w:space="0" w:color="auto"/>
      </w:divBdr>
    </w:div>
    <w:div w:id="462582737">
      <w:bodyDiv w:val="1"/>
      <w:marLeft w:val="0"/>
      <w:marRight w:val="0"/>
      <w:marTop w:val="0"/>
      <w:marBottom w:val="0"/>
      <w:divBdr>
        <w:top w:val="none" w:sz="0" w:space="0" w:color="auto"/>
        <w:left w:val="none" w:sz="0" w:space="0" w:color="auto"/>
        <w:bottom w:val="none" w:sz="0" w:space="0" w:color="auto"/>
        <w:right w:val="none" w:sz="0" w:space="0" w:color="auto"/>
      </w:divBdr>
    </w:div>
    <w:div w:id="511264836">
      <w:bodyDiv w:val="1"/>
      <w:marLeft w:val="0"/>
      <w:marRight w:val="0"/>
      <w:marTop w:val="0"/>
      <w:marBottom w:val="0"/>
      <w:divBdr>
        <w:top w:val="none" w:sz="0" w:space="0" w:color="auto"/>
        <w:left w:val="none" w:sz="0" w:space="0" w:color="auto"/>
        <w:bottom w:val="none" w:sz="0" w:space="0" w:color="auto"/>
        <w:right w:val="none" w:sz="0" w:space="0" w:color="auto"/>
      </w:divBdr>
    </w:div>
    <w:div w:id="535580136">
      <w:bodyDiv w:val="1"/>
      <w:marLeft w:val="0"/>
      <w:marRight w:val="0"/>
      <w:marTop w:val="0"/>
      <w:marBottom w:val="0"/>
      <w:divBdr>
        <w:top w:val="none" w:sz="0" w:space="0" w:color="auto"/>
        <w:left w:val="none" w:sz="0" w:space="0" w:color="auto"/>
        <w:bottom w:val="none" w:sz="0" w:space="0" w:color="auto"/>
        <w:right w:val="none" w:sz="0" w:space="0" w:color="auto"/>
      </w:divBdr>
      <w:divsChild>
        <w:div w:id="498689922">
          <w:marLeft w:val="432"/>
          <w:marRight w:val="432"/>
          <w:marTop w:val="150"/>
          <w:marBottom w:val="150"/>
          <w:divBdr>
            <w:top w:val="none" w:sz="0" w:space="0" w:color="auto"/>
            <w:left w:val="none" w:sz="0" w:space="0" w:color="auto"/>
            <w:bottom w:val="none" w:sz="0" w:space="0" w:color="auto"/>
            <w:right w:val="none" w:sz="0" w:space="0" w:color="auto"/>
          </w:divBdr>
        </w:div>
      </w:divsChild>
    </w:div>
    <w:div w:id="593632766">
      <w:bodyDiv w:val="1"/>
      <w:marLeft w:val="0"/>
      <w:marRight w:val="0"/>
      <w:marTop w:val="0"/>
      <w:marBottom w:val="0"/>
      <w:divBdr>
        <w:top w:val="none" w:sz="0" w:space="0" w:color="auto"/>
        <w:left w:val="none" w:sz="0" w:space="0" w:color="auto"/>
        <w:bottom w:val="none" w:sz="0" w:space="0" w:color="auto"/>
        <w:right w:val="none" w:sz="0" w:space="0" w:color="auto"/>
      </w:divBdr>
    </w:div>
    <w:div w:id="613749206">
      <w:bodyDiv w:val="1"/>
      <w:marLeft w:val="0"/>
      <w:marRight w:val="0"/>
      <w:marTop w:val="0"/>
      <w:marBottom w:val="0"/>
      <w:divBdr>
        <w:top w:val="none" w:sz="0" w:space="0" w:color="auto"/>
        <w:left w:val="none" w:sz="0" w:space="0" w:color="auto"/>
        <w:bottom w:val="none" w:sz="0" w:space="0" w:color="auto"/>
        <w:right w:val="none" w:sz="0" w:space="0" w:color="auto"/>
      </w:divBdr>
    </w:div>
    <w:div w:id="625280454">
      <w:bodyDiv w:val="1"/>
      <w:marLeft w:val="0"/>
      <w:marRight w:val="0"/>
      <w:marTop w:val="0"/>
      <w:marBottom w:val="0"/>
      <w:divBdr>
        <w:top w:val="none" w:sz="0" w:space="0" w:color="auto"/>
        <w:left w:val="none" w:sz="0" w:space="0" w:color="auto"/>
        <w:bottom w:val="none" w:sz="0" w:space="0" w:color="auto"/>
        <w:right w:val="none" w:sz="0" w:space="0" w:color="auto"/>
      </w:divBdr>
    </w:div>
    <w:div w:id="640304630">
      <w:bodyDiv w:val="1"/>
      <w:marLeft w:val="0"/>
      <w:marRight w:val="0"/>
      <w:marTop w:val="0"/>
      <w:marBottom w:val="0"/>
      <w:divBdr>
        <w:top w:val="none" w:sz="0" w:space="0" w:color="auto"/>
        <w:left w:val="none" w:sz="0" w:space="0" w:color="auto"/>
        <w:bottom w:val="none" w:sz="0" w:space="0" w:color="auto"/>
        <w:right w:val="none" w:sz="0" w:space="0" w:color="auto"/>
      </w:divBdr>
    </w:div>
    <w:div w:id="683173683">
      <w:bodyDiv w:val="1"/>
      <w:marLeft w:val="0"/>
      <w:marRight w:val="0"/>
      <w:marTop w:val="0"/>
      <w:marBottom w:val="0"/>
      <w:divBdr>
        <w:top w:val="none" w:sz="0" w:space="0" w:color="auto"/>
        <w:left w:val="none" w:sz="0" w:space="0" w:color="auto"/>
        <w:bottom w:val="none" w:sz="0" w:space="0" w:color="auto"/>
        <w:right w:val="none" w:sz="0" w:space="0" w:color="auto"/>
      </w:divBdr>
    </w:div>
    <w:div w:id="752967077">
      <w:bodyDiv w:val="1"/>
      <w:marLeft w:val="0"/>
      <w:marRight w:val="0"/>
      <w:marTop w:val="0"/>
      <w:marBottom w:val="0"/>
      <w:divBdr>
        <w:top w:val="none" w:sz="0" w:space="0" w:color="auto"/>
        <w:left w:val="none" w:sz="0" w:space="0" w:color="auto"/>
        <w:bottom w:val="none" w:sz="0" w:space="0" w:color="auto"/>
        <w:right w:val="none" w:sz="0" w:space="0" w:color="auto"/>
      </w:divBdr>
    </w:div>
    <w:div w:id="897858201">
      <w:bodyDiv w:val="1"/>
      <w:marLeft w:val="0"/>
      <w:marRight w:val="0"/>
      <w:marTop w:val="0"/>
      <w:marBottom w:val="0"/>
      <w:divBdr>
        <w:top w:val="none" w:sz="0" w:space="0" w:color="auto"/>
        <w:left w:val="none" w:sz="0" w:space="0" w:color="auto"/>
        <w:bottom w:val="none" w:sz="0" w:space="0" w:color="auto"/>
        <w:right w:val="none" w:sz="0" w:space="0" w:color="auto"/>
      </w:divBdr>
    </w:div>
    <w:div w:id="915171212">
      <w:bodyDiv w:val="1"/>
      <w:marLeft w:val="0"/>
      <w:marRight w:val="0"/>
      <w:marTop w:val="0"/>
      <w:marBottom w:val="0"/>
      <w:divBdr>
        <w:top w:val="none" w:sz="0" w:space="0" w:color="auto"/>
        <w:left w:val="none" w:sz="0" w:space="0" w:color="auto"/>
        <w:bottom w:val="none" w:sz="0" w:space="0" w:color="auto"/>
        <w:right w:val="none" w:sz="0" w:space="0" w:color="auto"/>
      </w:divBdr>
    </w:div>
    <w:div w:id="926810652">
      <w:bodyDiv w:val="1"/>
      <w:marLeft w:val="0"/>
      <w:marRight w:val="0"/>
      <w:marTop w:val="0"/>
      <w:marBottom w:val="0"/>
      <w:divBdr>
        <w:top w:val="none" w:sz="0" w:space="0" w:color="auto"/>
        <w:left w:val="none" w:sz="0" w:space="0" w:color="auto"/>
        <w:bottom w:val="none" w:sz="0" w:space="0" w:color="auto"/>
        <w:right w:val="none" w:sz="0" w:space="0" w:color="auto"/>
      </w:divBdr>
    </w:div>
    <w:div w:id="954210855">
      <w:bodyDiv w:val="1"/>
      <w:marLeft w:val="0"/>
      <w:marRight w:val="0"/>
      <w:marTop w:val="0"/>
      <w:marBottom w:val="0"/>
      <w:divBdr>
        <w:top w:val="none" w:sz="0" w:space="0" w:color="auto"/>
        <w:left w:val="none" w:sz="0" w:space="0" w:color="auto"/>
        <w:bottom w:val="none" w:sz="0" w:space="0" w:color="auto"/>
        <w:right w:val="none" w:sz="0" w:space="0" w:color="auto"/>
      </w:divBdr>
    </w:div>
    <w:div w:id="956257519">
      <w:bodyDiv w:val="1"/>
      <w:marLeft w:val="0"/>
      <w:marRight w:val="0"/>
      <w:marTop w:val="0"/>
      <w:marBottom w:val="0"/>
      <w:divBdr>
        <w:top w:val="none" w:sz="0" w:space="0" w:color="auto"/>
        <w:left w:val="none" w:sz="0" w:space="0" w:color="auto"/>
        <w:bottom w:val="none" w:sz="0" w:space="0" w:color="auto"/>
        <w:right w:val="none" w:sz="0" w:space="0" w:color="auto"/>
      </w:divBdr>
    </w:div>
    <w:div w:id="1006444061">
      <w:bodyDiv w:val="1"/>
      <w:marLeft w:val="0"/>
      <w:marRight w:val="0"/>
      <w:marTop w:val="0"/>
      <w:marBottom w:val="0"/>
      <w:divBdr>
        <w:top w:val="none" w:sz="0" w:space="0" w:color="auto"/>
        <w:left w:val="none" w:sz="0" w:space="0" w:color="auto"/>
        <w:bottom w:val="none" w:sz="0" w:space="0" w:color="auto"/>
        <w:right w:val="none" w:sz="0" w:space="0" w:color="auto"/>
      </w:divBdr>
    </w:div>
    <w:div w:id="1027753387">
      <w:bodyDiv w:val="1"/>
      <w:marLeft w:val="0"/>
      <w:marRight w:val="0"/>
      <w:marTop w:val="0"/>
      <w:marBottom w:val="0"/>
      <w:divBdr>
        <w:top w:val="none" w:sz="0" w:space="0" w:color="auto"/>
        <w:left w:val="none" w:sz="0" w:space="0" w:color="auto"/>
        <w:bottom w:val="none" w:sz="0" w:space="0" w:color="auto"/>
        <w:right w:val="none" w:sz="0" w:space="0" w:color="auto"/>
      </w:divBdr>
    </w:div>
    <w:div w:id="1049843066">
      <w:bodyDiv w:val="1"/>
      <w:marLeft w:val="0"/>
      <w:marRight w:val="0"/>
      <w:marTop w:val="0"/>
      <w:marBottom w:val="0"/>
      <w:divBdr>
        <w:top w:val="none" w:sz="0" w:space="0" w:color="auto"/>
        <w:left w:val="none" w:sz="0" w:space="0" w:color="auto"/>
        <w:bottom w:val="none" w:sz="0" w:space="0" w:color="auto"/>
        <w:right w:val="none" w:sz="0" w:space="0" w:color="auto"/>
      </w:divBdr>
    </w:div>
    <w:div w:id="1127553668">
      <w:bodyDiv w:val="1"/>
      <w:marLeft w:val="0"/>
      <w:marRight w:val="0"/>
      <w:marTop w:val="0"/>
      <w:marBottom w:val="0"/>
      <w:divBdr>
        <w:top w:val="none" w:sz="0" w:space="0" w:color="auto"/>
        <w:left w:val="none" w:sz="0" w:space="0" w:color="auto"/>
        <w:bottom w:val="none" w:sz="0" w:space="0" w:color="auto"/>
        <w:right w:val="none" w:sz="0" w:space="0" w:color="auto"/>
      </w:divBdr>
    </w:div>
    <w:div w:id="1137454049">
      <w:bodyDiv w:val="1"/>
      <w:marLeft w:val="0"/>
      <w:marRight w:val="0"/>
      <w:marTop w:val="0"/>
      <w:marBottom w:val="0"/>
      <w:divBdr>
        <w:top w:val="none" w:sz="0" w:space="0" w:color="auto"/>
        <w:left w:val="none" w:sz="0" w:space="0" w:color="auto"/>
        <w:bottom w:val="none" w:sz="0" w:space="0" w:color="auto"/>
        <w:right w:val="none" w:sz="0" w:space="0" w:color="auto"/>
      </w:divBdr>
    </w:div>
    <w:div w:id="1242911515">
      <w:bodyDiv w:val="1"/>
      <w:marLeft w:val="0"/>
      <w:marRight w:val="0"/>
      <w:marTop w:val="0"/>
      <w:marBottom w:val="0"/>
      <w:divBdr>
        <w:top w:val="none" w:sz="0" w:space="0" w:color="auto"/>
        <w:left w:val="none" w:sz="0" w:space="0" w:color="auto"/>
        <w:bottom w:val="none" w:sz="0" w:space="0" w:color="auto"/>
        <w:right w:val="none" w:sz="0" w:space="0" w:color="auto"/>
      </w:divBdr>
    </w:div>
    <w:div w:id="1303149350">
      <w:bodyDiv w:val="1"/>
      <w:marLeft w:val="0"/>
      <w:marRight w:val="0"/>
      <w:marTop w:val="0"/>
      <w:marBottom w:val="0"/>
      <w:divBdr>
        <w:top w:val="none" w:sz="0" w:space="0" w:color="auto"/>
        <w:left w:val="none" w:sz="0" w:space="0" w:color="auto"/>
        <w:bottom w:val="none" w:sz="0" w:space="0" w:color="auto"/>
        <w:right w:val="none" w:sz="0" w:space="0" w:color="auto"/>
      </w:divBdr>
    </w:div>
    <w:div w:id="1408770033">
      <w:bodyDiv w:val="1"/>
      <w:marLeft w:val="0"/>
      <w:marRight w:val="0"/>
      <w:marTop w:val="0"/>
      <w:marBottom w:val="0"/>
      <w:divBdr>
        <w:top w:val="none" w:sz="0" w:space="0" w:color="auto"/>
        <w:left w:val="none" w:sz="0" w:space="0" w:color="auto"/>
        <w:bottom w:val="none" w:sz="0" w:space="0" w:color="auto"/>
        <w:right w:val="none" w:sz="0" w:space="0" w:color="auto"/>
      </w:divBdr>
    </w:div>
    <w:div w:id="1419013224">
      <w:bodyDiv w:val="1"/>
      <w:marLeft w:val="0"/>
      <w:marRight w:val="0"/>
      <w:marTop w:val="0"/>
      <w:marBottom w:val="0"/>
      <w:divBdr>
        <w:top w:val="none" w:sz="0" w:space="0" w:color="auto"/>
        <w:left w:val="none" w:sz="0" w:space="0" w:color="auto"/>
        <w:bottom w:val="none" w:sz="0" w:space="0" w:color="auto"/>
        <w:right w:val="none" w:sz="0" w:space="0" w:color="auto"/>
      </w:divBdr>
    </w:div>
    <w:div w:id="1449857471">
      <w:bodyDiv w:val="1"/>
      <w:marLeft w:val="0"/>
      <w:marRight w:val="0"/>
      <w:marTop w:val="0"/>
      <w:marBottom w:val="0"/>
      <w:divBdr>
        <w:top w:val="none" w:sz="0" w:space="0" w:color="auto"/>
        <w:left w:val="none" w:sz="0" w:space="0" w:color="auto"/>
        <w:bottom w:val="none" w:sz="0" w:space="0" w:color="auto"/>
        <w:right w:val="none" w:sz="0" w:space="0" w:color="auto"/>
      </w:divBdr>
    </w:div>
    <w:div w:id="1657608427">
      <w:bodyDiv w:val="1"/>
      <w:marLeft w:val="0"/>
      <w:marRight w:val="0"/>
      <w:marTop w:val="0"/>
      <w:marBottom w:val="0"/>
      <w:divBdr>
        <w:top w:val="none" w:sz="0" w:space="0" w:color="auto"/>
        <w:left w:val="none" w:sz="0" w:space="0" w:color="auto"/>
        <w:bottom w:val="none" w:sz="0" w:space="0" w:color="auto"/>
        <w:right w:val="none" w:sz="0" w:space="0" w:color="auto"/>
      </w:divBdr>
      <w:divsChild>
        <w:div w:id="661813042">
          <w:marLeft w:val="0"/>
          <w:marRight w:val="0"/>
          <w:marTop w:val="0"/>
          <w:marBottom w:val="0"/>
          <w:divBdr>
            <w:top w:val="none" w:sz="0" w:space="0" w:color="auto"/>
            <w:left w:val="none" w:sz="0" w:space="0" w:color="auto"/>
            <w:bottom w:val="none" w:sz="0" w:space="0" w:color="auto"/>
            <w:right w:val="none" w:sz="0" w:space="0" w:color="auto"/>
          </w:divBdr>
        </w:div>
        <w:div w:id="1604410275">
          <w:marLeft w:val="0"/>
          <w:marRight w:val="0"/>
          <w:marTop w:val="0"/>
          <w:marBottom w:val="0"/>
          <w:divBdr>
            <w:top w:val="none" w:sz="0" w:space="0" w:color="auto"/>
            <w:left w:val="none" w:sz="0" w:space="0" w:color="auto"/>
            <w:bottom w:val="none" w:sz="0" w:space="0" w:color="auto"/>
            <w:right w:val="none" w:sz="0" w:space="0" w:color="auto"/>
          </w:divBdr>
        </w:div>
        <w:div w:id="435638926">
          <w:marLeft w:val="0"/>
          <w:marRight w:val="0"/>
          <w:marTop w:val="0"/>
          <w:marBottom w:val="0"/>
          <w:divBdr>
            <w:top w:val="none" w:sz="0" w:space="0" w:color="auto"/>
            <w:left w:val="none" w:sz="0" w:space="0" w:color="auto"/>
            <w:bottom w:val="none" w:sz="0" w:space="0" w:color="auto"/>
            <w:right w:val="none" w:sz="0" w:space="0" w:color="auto"/>
          </w:divBdr>
        </w:div>
        <w:div w:id="1032347014">
          <w:marLeft w:val="0"/>
          <w:marRight w:val="0"/>
          <w:marTop w:val="0"/>
          <w:marBottom w:val="0"/>
          <w:divBdr>
            <w:top w:val="none" w:sz="0" w:space="0" w:color="auto"/>
            <w:left w:val="none" w:sz="0" w:space="0" w:color="auto"/>
            <w:bottom w:val="none" w:sz="0" w:space="0" w:color="auto"/>
            <w:right w:val="none" w:sz="0" w:space="0" w:color="auto"/>
          </w:divBdr>
        </w:div>
        <w:div w:id="1887525453">
          <w:marLeft w:val="0"/>
          <w:marRight w:val="0"/>
          <w:marTop w:val="0"/>
          <w:marBottom w:val="0"/>
          <w:divBdr>
            <w:top w:val="none" w:sz="0" w:space="0" w:color="auto"/>
            <w:left w:val="none" w:sz="0" w:space="0" w:color="auto"/>
            <w:bottom w:val="none" w:sz="0" w:space="0" w:color="auto"/>
            <w:right w:val="none" w:sz="0" w:space="0" w:color="auto"/>
          </w:divBdr>
        </w:div>
      </w:divsChild>
    </w:div>
    <w:div w:id="1741168477">
      <w:bodyDiv w:val="1"/>
      <w:marLeft w:val="0"/>
      <w:marRight w:val="0"/>
      <w:marTop w:val="0"/>
      <w:marBottom w:val="0"/>
      <w:divBdr>
        <w:top w:val="none" w:sz="0" w:space="0" w:color="auto"/>
        <w:left w:val="none" w:sz="0" w:space="0" w:color="auto"/>
        <w:bottom w:val="none" w:sz="0" w:space="0" w:color="auto"/>
        <w:right w:val="none" w:sz="0" w:space="0" w:color="auto"/>
      </w:divBdr>
    </w:div>
    <w:div w:id="1760982882">
      <w:bodyDiv w:val="1"/>
      <w:marLeft w:val="0"/>
      <w:marRight w:val="0"/>
      <w:marTop w:val="0"/>
      <w:marBottom w:val="0"/>
      <w:divBdr>
        <w:top w:val="none" w:sz="0" w:space="0" w:color="auto"/>
        <w:left w:val="none" w:sz="0" w:space="0" w:color="auto"/>
        <w:bottom w:val="none" w:sz="0" w:space="0" w:color="auto"/>
        <w:right w:val="none" w:sz="0" w:space="0" w:color="auto"/>
      </w:divBdr>
    </w:div>
    <w:div w:id="1941834379">
      <w:bodyDiv w:val="1"/>
      <w:marLeft w:val="0"/>
      <w:marRight w:val="0"/>
      <w:marTop w:val="0"/>
      <w:marBottom w:val="0"/>
      <w:divBdr>
        <w:top w:val="none" w:sz="0" w:space="0" w:color="auto"/>
        <w:left w:val="none" w:sz="0" w:space="0" w:color="auto"/>
        <w:bottom w:val="none" w:sz="0" w:space="0" w:color="auto"/>
        <w:right w:val="none" w:sz="0" w:space="0" w:color="auto"/>
      </w:divBdr>
      <w:divsChild>
        <w:div w:id="313294763">
          <w:marLeft w:val="432"/>
          <w:marRight w:val="432"/>
          <w:marTop w:val="150"/>
          <w:marBottom w:val="150"/>
          <w:divBdr>
            <w:top w:val="none" w:sz="0" w:space="0" w:color="auto"/>
            <w:left w:val="none" w:sz="0" w:space="0" w:color="auto"/>
            <w:bottom w:val="none" w:sz="0" w:space="0" w:color="auto"/>
            <w:right w:val="none" w:sz="0" w:space="0" w:color="auto"/>
          </w:divBdr>
        </w:div>
      </w:divsChild>
    </w:div>
    <w:div w:id="1942688132">
      <w:bodyDiv w:val="1"/>
      <w:marLeft w:val="0"/>
      <w:marRight w:val="0"/>
      <w:marTop w:val="0"/>
      <w:marBottom w:val="0"/>
      <w:divBdr>
        <w:top w:val="none" w:sz="0" w:space="0" w:color="auto"/>
        <w:left w:val="none" w:sz="0" w:space="0" w:color="auto"/>
        <w:bottom w:val="none" w:sz="0" w:space="0" w:color="auto"/>
        <w:right w:val="none" w:sz="0" w:space="0" w:color="auto"/>
      </w:divBdr>
    </w:div>
    <w:div w:id="1986617159">
      <w:bodyDiv w:val="1"/>
      <w:marLeft w:val="0"/>
      <w:marRight w:val="0"/>
      <w:marTop w:val="0"/>
      <w:marBottom w:val="0"/>
      <w:divBdr>
        <w:top w:val="none" w:sz="0" w:space="0" w:color="auto"/>
        <w:left w:val="none" w:sz="0" w:space="0" w:color="auto"/>
        <w:bottom w:val="none" w:sz="0" w:space="0" w:color="auto"/>
        <w:right w:val="none" w:sz="0" w:space="0" w:color="auto"/>
      </w:divBdr>
    </w:div>
    <w:div w:id="2027098196">
      <w:bodyDiv w:val="1"/>
      <w:marLeft w:val="0"/>
      <w:marRight w:val="0"/>
      <w:marTop w:val="0"/>
      <w:marBottom w:val="0"/>
      <w:divBdr>
        <w:top w:val="none" w:sz="0" w:space="0" w:color="auto"/>
        <w:left w:val="none" w:sz="0" w:space="0" w:color="auto"/>
        <w:bottom w:val="none" w:sz="0" w:space="0" w:color="auto"/>
        <w:right w:val="none" w:sz="0" w:space="0" w:color="auto"/>
      </w:divBdr>
    </w:div>
    <w:div w:id="2037534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20unidad\SEI\1.%20CIFOR\7.%20Documentos\1.%20First%20Report%20nov-222.dotx" TargetMode="External"/></Relationships>
</file>

<file path=word/theme/theme1.xml><?xml version="1.0" encoding="utf-8"?>
<a:theme xmlns:a="http://schemas.openxmlformats.org/drawingml/2006/main" name="SEI-Theme">
  <a:themeElements>
    <a:clrScheme name="SEI-Theme">
      <a:dk1>
        <a:srgbClr val="000000"/>
      </a:dk1>
      <a:lt1>
        <a:srgbClr val="FFFFFF"/>
      </a:lt1>
      <a:dk2>
        <a:srgbClr val="303B41"/>
      </a:dk2>
      <a:lt2>
        <a:srgbClr val="00D29A"/>
      </a:lt2>
      <a:accent1>
        <a:srgbClr val="00D29A"/>
      </a:accent1>
      <a:accent2>
        <a:srgbClr val="008059"/>
      </a:accent2>
      <a:accent3>
        <a:srgbClr val="FF5A59"/>
      </a:accent3>
      <a:accent4>
        <a:srgbClr val="5EDDDF"/>
      </a:accent4>
      <a:accent5>
        <a:srgbClr val="AFAAFF"/>
      </a:accent5>
      <a:accent6>
        <a:srgbClr val="FFDD0F"/>
      </a:accent6>
      <a:hlink>
        <a:srgbClr val="008059"/>
      </a:hlink>
      <a:folHlink>
        <a:srgbClr val="EBF0F8"/>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c49291-5816-42ac-ac26-3429ce35e338" xsi:nil="true"/>
    <lcf76f155ced4ddcb4097134ff3c332f xmlns="0ba76755-9d8f-495d-b413-13f38909c37d">
      <Terms xmlns="http://schemas.microsoft.com/office/infopath/2007/PartnerControls"/>
    </lcf76f155ced4ddcb4097134ff3c332f>
    <SharedWithUsers xmlns="3dc49291-5816-42ac-ac26-3429ce35e338">
      <UserInfo>
        <DisplayName>Juanita Gómez González</DisplayName>
        <AccountId>23</AccountId>
        <AccountType/>
      </UserInfo>
      <UserInfo>
        <DisplayName>Mónica Trujillo</DisplayName>
        <AccountId>11</AccountId>
        <AccountType/>
      </UserInfo>
      <UserInfo>
        <DisplayName>Camilo Garzón</DisplayName>
        <AccountId>34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B9692B05964B94988FCD6B97E97E9F8" ma:contentTypeVersion="18" ma:contentTypeDescription="Skapa ett nytt dokument." ma:contentTypeScope="" ma:versionID="b91cf070dcd9060e9fd03ce23392059e">
  <xsd:schema xmlns:xsd="http://www.w3.org/2001/XMLSchema" xmlns:xs="http://www.w3.org/2001/XMLSchema" xmlns:p="http://schemas.microsoft.com/office/2006/metadata/properties" xmlns:ns2="0ba76755-9d8f-495d-b413-13f38909c37d" xmlns:ns3="3dc49291-5816-42ac-ac26-3429ce35e338" targetNamespace="http://schemas.microsoft.com/office/2006/metadata/properties" ma:root="true" ma:fieldsID="f2f8cf9e66884f0c20ab76e1a6779b4a" ns2:_="" ns3:_="">
    <xsd:import namespace="0ba76755-9d8f-495d-b413-13f38909c37d"/>
    <xsd:import namespace="3dc49291-5816-42ac-ac26-3429ce35e3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76755-9d8f-495d-b413-13f38909c3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c5b9f97-a3a9-4673-b973-1f963bf50a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c49291-5816-42ac-ac26-3429ce35e33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ccf5168b-ec64-4ad9-a8dd-20b6f77addd6}" ma:internalName="TaxCatchAll" ma:showField="CatchAllData" ma:web="3dc49291-5816-42ac-ac26-3429ce35e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375F5-E425-41EC-BAEA-5D3AAC21326D}">
  <ds:schemaRefs>
    <ds:schemaRef ds:uri="http://schemas.microsoft.com/office/2006/metadata/properties"/>
    <ds:schemaRef ds:uri="http://schemas.microsoft.com/office/infopath/2007/PartnerControls"/>
    <ds:schemaRef ds:uri="3dc49291-5816-42ac-ac26-3429ce35e338"/>
    <ds:schemaRef ds:uri="0ba76755-9d8f-495d-b413-13f38909c37d"/>
  </ds:schemaRefs>
</ds:datastoreItem>
</file>

<file path=customXml/itemProps2.xml><?xml version="1.0" encoding="utf-8"?>
<ds:datastoreItem xmlns:ds="http://schemas.openxmlformats.org/officeDocument/2006/customXml" ds:itemID="{E55EC14E-3984-42F9-A3C0-6FBE67811823}">
  <ds:schemaRefs>
    <ds:schemaRef ds:uri="http://schemas.microsoft.com/sharepoint/v3/contenttype/forms"/>
  </ds:schemaRefs>
</ds:datastoreItem>
</file>

<file path=customXml/itemProps3.xml><?xml version="1.0" encoding="utf-8"?>
<ds:datastoreItem xmlns:ds="http://schemas.openxmlformats.org/officeDocument/2006/customXml" ds:itemID="{7E9E0AA4-3980-43BC-896C-8771C96A312E}">
  <ds:schemaRefs>
    <ds:schemaRef ds:uri="http://schemas.openxmlformats.org/officeDocument/2006/bibliography"/>
  </ds:schemaRefs>
</ds:datastoreItem>
</file>

<file path=customXml/itemProps4.xml><?xml version="1.0" encoding="utf-8"?>
<ds:datastoreItem xmlns:ds="http://schemas.openxmlformats.org/officeDocument/2006/customXml" ds:itemID="{0327DF23-904C-4E97-B43E-0D30934C1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76755-9d8f-495d-b413-13f38909c37d"/>
    <ds:schemaRef ds:uri="3dc49291-5816-42ac-ac26-3429ce35e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 First Report nov-222.dotx</Template>
  <TotalTime>1211</TotalTime>
  <Pages>15</Pages>
  <Words>5739</Words>
  <Characters>31567</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Andres Garzon Medina</dc:creator>
  <cp:keywords/>
  <dc:description/>
  <cp:lastModifiedBy>Camilo Garzón</cp:lastModifiedBy>
  <cp:revision>1651</cp:revision>
  <cp:lastPrinted>2017-12-07T14:04:00Z</cp:lastPrinted>
  <dcterms:created xsi:type="dcterms:W3CDTF">2022-12-05T22:19:00Z</dcterms:created>
  <dcterms:modified xsi:type="dcterms:W3CDTF">2025-12-26T03:10:00Z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0x010100AB9692B05964B94988FCD6B97E97E9F8</vt:lpwstr>
  </property>
  <property fmtid="{D5CDD505-2E9C-101B-9397-08002B2CF9AE}" pid="3" name="Order">
    <vt:r8>147300</vt:r8>
  </property>
  <property fmtid="{D5CDD505-2E9C-101B-9397-08002B2CF9AE}" pid="4" name="ComplianceAssetId">
    <vt:lpwstr/>
  </property>
  <property fmtid="{D5CDD505-2E9C-101B-9397-08002B2CF9AE}" pid="5" name="seiCentres">
    <vt:lpwstr>4;#Global|a6f2b5f9-8929-415c-8ec9-24f5d5444f27</vt:lpwstr>
  </property>
  <property fmtid="{D5CDD505-2E9C-101B-9397-08002B2CF9AE}" pid="6" name="seiCategory">
    <vt:lpwstr>1;#Templates|a474fef0-cd70-4fcf-a9f7-1da1d1126c19;#3;# Communications|dc2cdc33-0c00-4cd7-819e-4a74438a0714</vt:lpwstr>
  </property>
  <property fmtid="{D5CDD505-2E9C-101B-9397-08002B2CF9AE}" pid="7" name="MediaServiceImageTags">
    <vt:lpwstr/>
  </property>
  <property fmtid="{D5CDD505-2E9C-101B-9397-08002B2CF9AE}" pid="8" name="ZOTERO_PREF_1">
    <vt:lpwstr>&lt;data data-version="3" zotero-version="6.0.36"&gt;&lt;session id="yF102fg2"/&gt;&lt;style id="http://www.zotero.org/styles/apa" locale="es-ES" hasBibliography="1" bibliographyStyleHasBeenSet="1"/&gt;&lt;prefs&gt;&lt;pref name="fieldType" value="Field"/&gt;&lt;pref name="automaticJourn</vt:lpwstr>
  </property>
  <property fmtid="{D5CDD505-2E9C-101B-9397-08002B2CF9AE}" pid="9" name="ZOTERO_PREF_2">
    <vt:lpwstr>alAbbreviations" value="true"/&gt;&lt;/prefs&gt;&lt;/data&gt;</vt:lpwstr>
  </property>
  <property fmtid="{D5CDD505-2E9C-101B-9397-08002B2CF9AE}" pid="10" name="GrammarlyDocumentId">
    <vt:lpwstr>76843120-04d2-47b4-8a0f-5a87c0442490</vt:lpwstr>
  </property>
</Properties>
</file>